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pPr w:leftFromText="141" w:rightFromText="141" w:vertAnchor="page" w:horzAnchor="margin" w:tblpXSpec="center" w:tblpY="1615"/>
        <w:tblW w:w="10195" w:type="dxa"/>
        <w:tblLook w:val="0000" w:firstRow="0" w:lastRow="0" w:firstColumn="0" w:lastColumn="0" w:noHBand="0" w:noVBand="0"/>
      </w:tblPr>
      <w:tblGrid>
        <w:gridCol w:w="3565"/>
        <w:gridCol w:w="6630"/>
      </w:tblGrid>
      <w:tr w:rsidR="0011755C" w:rsidRPr="00C1050A" w14:paraId="06782AD7" w14:textId="77777777" w:rsidTr="0011755C">
        <w:trPr>
          <w:trHeight w:val="286"/>
        </w:trPr>
        <w:tc>
          <w:tcPr>
            <w:tcW w:w="10195" w:type="dxa"/>
            <w:gridSpan w:val="2"/>
          </w:tcPr>
          <w:p w14:paraId="2088DF6C" w14:textId="77777777" w:rsidR="0011755C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b/>
                <w:color w:val="244061" w:themeColor="accent1" w:themeShade="80"/>
                <w:sz w:val="24"/>
                <w:szCs w:val="20"/>
              </w:rPr>
            </w:pPr>
            <w:r w:rsidRPr="00C1050A">
              <w:rPr>
                <w:rFonts w:ascii="Avenir Next Condensed" w:hAnsi="Avenir Next Condensed"/>
                <w:b/>
                <w:color w:val="244061" w:themeColor="accent1" w:themeShade="80"/>
                <w:sz w:val="24"/>
                <w:szCs w:val="20"/>
              </w:rPr>
              <w:t>LES ESPACES EN ARTS PLASTIQUES</w:t>
            </w:r>
          </w:p>
          <w:p w14:paraId="3DEFE868" w14:textId="77777777" w:rsidR="0011755C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  <w:hyperlink r:id="rId5" w:history="1">
              <w:r w:rsidRPr="008F492D">
                <w:rPr>
                  <w:rStyle w:val="Lienhypertexte"/>
                  <w:rFonts w:ascii="Avenir Next Condensed" w:hAnsi="Avenir Next Condensed"/>
                  <w:color w:val="000080" w:themeColor="hyperlink" w:themeShade="80"/>
                  <w:sz w:val="20"/>
                  <w:szCs w:val="20"/>
                </w:rPr>
                <w:t>https://cache.media.eduscol.education.fr/file/Arts_plastiques/56/4/38_RA16_C4_APLA_Conseils-preco-espace-travail_DM_V3_664564.pdf</w:t>
              </w:r>
            </w:hyperlink>
            <w:r w:rsidRPr="008F492D"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37B3C422" w14:textId="77777777" w:rsidR="0011755C" w:rsidRPr="008F492D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673AAF20" w14:textId="77777777" w:rsidTr="0011755C">
        <w:trPr>
          <w:trHeight w:val="319"/>
        </w:trPr>
        <w:tc>
          <w:tcPr>
            <w:tcW w:w="3565" w:type="dxa"/>
            <w:vAlign w:val="center"/>
          </w:tcPr>
          <w:p w14:paraId="4B102F74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Emplacement de la salle d’arts plastiques, locaux et équipements associés</w:t>
            </w:r>
          </w:p>
        </w:tc>
        <w:tc>
          <w:tcPr>
            <w:tcW w:w="6630" w:type="dxa"/>
          </w:tcPr>
          <w:p w14:paraId="46F95B91" w14:textId="77777777" w:rsidR="0011755C" w:rsidRPr="00C1050A" w:rsidRDefault="0011755C" w:rsidP="0011755C">
            <w:pPr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1F121C9C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515D5C94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Superficie et volume</w:t>
            </w:r>
          </w:p>
        </w:tc>
        <w:tc>
          <w:tcPr>
            <w:tcW w:w="6630" w:type="dxa"/>
          </w:tcPr>
          <w:p w14:paraId="05B58092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0E8C9815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14E04FA9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La réserve</w:t>
            </w:r>
          </w:p>
        </w:tc>
        <w:tc>
          <w:tcPr>
            <w:tcW w:w="6630" w:type="dxa"/>
          </w:tcPr>
          <w:p w14:paraId="7C5CC8B4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2A9759D2" w14:textId="77777777" w:rsidTr="0011755C">
        <w:trPr>
          <w:trHeight w:val="389"/>
        </w:trPr>
        <w:tc>
          <w:tcPr>
            <w:tcW w:w="3565" w:type="dxa"/>
            <w:vAlign w:val="center"/>
          </w:tcPr>
          <w:p w14:paraId="42B30651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L’éclairage et les prises électrique</w:t>
            </w:r>
            <w:r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s</w:t>
            </w:r>
          </w:p>
        </w:tc>
        <w:tc>
          <w:tcPr>
            <w:tcW w:w="6630" w:type="dxa"/>
          </w:tcPr>
          <w:p w14:paraId="69061D1A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5F86FC79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0B5D8BEF" w14:textId="77777777" w:rsidR="0011755C" w:rsidRPr="00C1050A" w:rsidRDefault="0011755C" w:rsidP="0011755C">
            <w:pPr>
              <w:rPr>
                <w:rFonts w:ascii="Avenir Next Condensed" w:hAnsi="Avenir Next Condensed"/>
                <w:color w:val="244061" w:themeColor="accent1" w:themeShade="80"/>
                <w:szCs w:val="20"/>
              </w:rPr>
            </w:pPr>
            <w:r w:rsidRPr="00C1050A">
              <w:rPr>
                <w:rFonts w:ascii="Avenir Next Condensed" w:hAnsi="Avenir Next Condensed"/>
                <w:color w:val="244061" w:themeColor="accent1" w:themeShade="80"/>
                <w:szCs w:val="20"/>
              </w:rPr>
              <w:t>Espace disponible</w:t>
            </w:r>
            <w:r>
              <w:rPr>
                <w:rFonts w:ascii="Avenir Next Condensed" w:hAnsi="Avenir Next Condensed"/>
                <w:color w:val="244061" w:themeColor="accent1" w:themeShade="80"/>
                <w:szCs w:val="20"/>
              </w:rPr>
              <w:t xml:space="preserve"> : </w:t>
            </w:r>
            <w:r w:rsidRPr="00C1050A">
              <w:rPr>
                <w:rFonts w:ascii="Avenir Next Condensed" w:hAnsi="Avenir Next Condensed"/>
                <w:color w:val="244061" w:themeColor="accent1" w:themeShade="80"/>
                <w:szCs w:val="20"/>
              </w:rPr>
              <w:t>murs/sols/plafond/fenêtres</w:t>
            </w:r>
          </w:p>
        </w:tc>
        <w:tc>
          <w:tcPr>
            <w:tcW w:w="6630" w:type="dxa"/>
          </w:tcPr>
          <w:p w14:paraId="1ECDFD9C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7A390B84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58908DA4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Modalités d’agencement des espaces et disponibilité des matériaux pour produire avec des moyens plastiques en deux et trois dimensions,  utiliser les possibilités artistiques du numérique</w:t>
            </w:r>
          </w:p>
        </w:tc>
        <w:tc>
          <w:tcPr>
            <w:tcW w:w="6630" w:type="dxa"/>
          </w:tcPr>
          <w:p w14:paraId="3C96A4B2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26B99F62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797BB266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Modalités proposées pour observer et analyser des images d’œuvres,  acquérir des connaissances, construire de repères culturels et maitriser des références artistiques</w:t>
            </w:r>
          </w:p>
        </w:tc>
        <w:tc>
          <w:tcPr>
            <w:tcW w:w="6630" w:type="dxa"/>
          </w:tcPr>
          <w:p w14:paraId="1977DF2E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7A4C4EE4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3A244ADE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Rechercher des informations, utiliser des ressources documentaires</w:t>
            </w:r>
          </w:p>
        </w:tc>
        <w:tc>
          <w:tcPr>
            <w:tcW w:w="6630" w:type="dxa"/>
          </w:tcPr>
          <w:p w14:paraId="1D58FF71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0E871875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5C7B6D8C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Communiquer à partir de ses productions et s’ouvrir au monde de la culture</w:t>
            </w:r>
          </w:p>
        </w:tc>
        <w:tc>
          <w:tcPr>
            <w:tcW w:w="6630" w:type="dxa"/>
          </w:tcPr>
          <w:p w14:paraId="06268348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68A92D1A" w14:textId="77777777" w:rsidTr="0011755C">
        <w:trPr>
          <w:trHeight w:val="353"/>
        </w:trPr>
        <w:tc>
          <w:tcPr>
            <w:tcW w:w="3565" w:type="dxa"/>
            <w:vAlign w:val="center"/>
          </w:tcPr>
          <w:p w14:paraId="6FC1F5ED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Les points d’eau</w:t>
            </w:r>
          </w:p>
        </w:tc>
        <w:tc>
          <w:tcPr>
            <w:tcW w:w="6630" w:type="dxa"/>
          </w:tcPr>
          <w:p w14:paraId="7F04727D" w14:textId="77777777" w:rsidR="0011755C" w:rsidRPr="00C1050A" w:rsidRDefault="0011755C" w:rsidP="0011755C">
            <w:pPr>
              <w:pStyle w:val="Sansinterligne"/>
              <w:jc w:val="center"/>
              <w:rPr>
                <w:rFonts w:ascii="Avenir Next Condensed" w:hAnsi="Avenir Next Condensed"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1B5A5DD6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3D343CDA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Équipements de la salle</w:t>
            </w:r>
          </w:p>
        </w:tc>
        <w:tc>
          <w:tcPr>
            <w:tcW w:w="6630" w:type="dxa"/>
          </w:tcPr>
          <w:p w14:paraId="180F3B15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55F99701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74CE9FF9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Espace d’exposition</w:t>
            </w:r>
          </w:p>
        </w:tc>
        <w:tc>
          <w:tcPr>
            <w:tcW w:w="6630" w:type="dxa"/>
          </w:tcPr>
          <w:p w14:paraId="35DC0D5E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1D0EFFE1" w14:textId="77777777" w:rsidTr="0011755C">
        <w:trPr>
          <w:trHeight w:val="730"/>
        </w:trPr>
        <w:tc>
          <w:tcPr>
            <w:tcW w:w="3565" w:type="dxa"/>
            <w:vAlign w:val="center"/>
          </w:tcPr>
          <w:p w14:paraId="6322E29E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color w:val="244061" w:themeColor="accent1" w:themeShade="80"/>
                <w:sz w:val="22"/>
                <w:szCs w:val="20"/>
              </w:rPr>
            </w:pPr>
            <w:r w:rsidRPr="00C1050A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Équipements numériques en arts plastiques</w:t>
            </w:r>
            <w:bookmarkStart w:id="0" w:name="_GoBack"/>
            <w:bookmarkEnd w:id="0"/>
          </w:p>
        </w:tc>
        <w:tc>
          <w:tcPr>
            <w:tcW w:w="6630" w:type="dxa"/>
          </w:tcPr>
          <w:p w14:paraId="4C5CBEC2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11755C" w:rsidRPr="00C1050A" w14:paraId="17BCFAC7" w14:textId="77777777" w:rsidTr="0011755C">
        <w:trPr>
          <w:trHeight w:val="68"/>
        </w:trPr>
        <w:tc>
          <w:tcPr>
            <w:tcW w:w="3565" w:type="dxa"/>
            <w:vAlign w:val="center"/>
          </w:tcPr>
          <w:p w14:paraId="3C6C1081" w14:textId="77777777" w:rsidR="007A3B24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  <w:r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Photographies</w:t>
            </w:r>
          </w:p>
          <w:p w14:paraId="637B27B0" w14:textId="28A77CD0" w:rsidR="0011755C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  <w:r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 xml:space="preserve"> </w:t>
            </w:r>
            <w:r w:rsidR="007A3B24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 xml:space="preserve">(à joindre séparément en </w:t>
            </w:r>
            <w:r w:rsidR="007A3B24" w:rsidRPr="00663A10">
              <w:rPr>
                <w:rFonts w:ascii="Avenir Next Condensed" w:hAnsi="Avenir Next Condensed"/>
                <w:bCs/>
                <w:i/>
                <w:color w:val="244061" w:themeColor="accent1" w:themeShade="80"/>
                <w:sz w:val="22"/>
                <w:szCs w:val="20"/>
              </w:rPr>
              <w:t>.jpeg</w:t>
            </w:r>
            <w:r w:rsidR="007A3B24"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  <w:t>)</w:t>
            </w:r>
          </w:p>
          <w:p w14:paraId="06AE79AF" w14:textId="77777777" w:rsidR="0011755C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</w:p>
          <w:p w14:paraId="175EFF9E" w14:textId="77777777" w:rsidR="0011755C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</w:p>
          <w:p w14:paraId="3281140F" w14:textId="77777777" w:rsidR="0011755C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</w:p>
          <w:p w14:paraId="1CEB5E1D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2"/>
                <w:szCs w:val="20"/>
              </w:rPr>
            </w:pPr>
          </w:p>
        </w:tc>
        <w:tc>
          <w:tcPr>
            <w:tcW w:w="6630" w:type="dxa"/>
          </w:tcPr>
          <w:p w14:paraId="0C865023" w14:textId="77777777" w:rsidR="0011755C" w:rsidRPr="00C1050A" w:rsidRDefault="0011755C" w:rsidP="0011755C">
            <w:pPr>
              <w:pStyle w:val="NormalWeb"/>
              <w:rPr>
                <w:rFonts w:ascii="Avenir Next Condensed" w:hAnsi="Avenir Next Condensed"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3ED78C38" w14:textId="0E46DCCE" w:rsidR="00BF1B68" w:rsidRDefault="0011755C">
      <w:r w:rsidRPr="00950860">
        <w:rPr>
          <w:noProof/>
          <w:color w:val="7030A0"/>
          <w:sz w:val="32"/>
        </w:rPr>
        <w:drawing>
          <wp:anchor distT="0" distB="0" distL="114300" distR="114300" simplePos="0" relativeHeight="251659264" behindDoc="0" locked="0" layoutInCell="1" allowOverlap="1" wp14:anchorId="64175A13" wp14:editId="09ECC451">
            <wp:simplePos x="0" y="0"/>
            <wp:positionH relativeFrom="column">
              <wp:posOffset>293624</wp:posOffset>
            </wp:positionH>
            <wp:positionV relativeFrom="paragraph">
              <wp:posOffset>-679831</wp:posOffset>
            </wp:positionV>
            <wp:extent cx="1266228" cy="786384"/>
            <wp:effectExtent l="0" t="0" r="3810" b="1270"/>
            <wp:wrapNone/>
            <wp:docPr id="1" name="Image 1" descr="Ministère de l'éducation 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e l'éducation national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2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B68" w:rsidSect="0011755C">
      <w:pgSz w:w="11906" w:h="16838"/>
      <w:pgMar w:top="1417" w:right="142" w:bottom="78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1D9"/>
    <w:multiLevelType w:val="multilevel"/>
    <w:tmpl w:val="781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50856"/>
    <w:multiLevelType w:val="multilevel"/>
    <w:tmpl w:val="0C3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861B1"/>
    <w:multiLevelType w:val="multilevel"/>
    <w:tmpl w:val="359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E30B22"/>
    <w:multiLevelType w:val="multilevel"/>
    <w:tmpl w:val="A92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50"/>
    <w:rsid w:val="00033A40"/>
    <w:rsid w:val="000B6C07"/>
    <w:rsid w:val="0011755C"/>
    <w:rsid w:val="002C6BF3"/>
    <w:rsid w:val="00313393"/>
    <w:rsid w:val="003748C2"/>
    <w:rsid w:val="004F0DCE"/>
    <w:rsid w:val="00595EFD"/>
    <w:rsid w:val="005A3081"/>
    <w:rsid w:val="005C3BE8"/>
    <w:rsid w:val="005D1A48"/>
    <w:rsid w:val="00663A10"/>
    <w:rsid w:val="006920FC"/>
    <w:rsid w:val="006B70CE"/>
    <w:rsid w:val="006D5BFE"/>
    <w:rsid w:val="007309F8"/>
    <w:rsid w:val="00773751"/>
    <w:rsid w:val="00794091"/>
    <w:rsid w:val="007A3B24"/>
    <w:rsid w:val="007B6470"/>
    <w:rsid w:val="0089378D"/>
    <w:rsid w:val="008A10E6"/>
    <w:rsid w:val="008B6770"/>
    <w:rsid w:val="008B6F56"/>
    <w:rsid w:val="008C65FB"/>
    <w:rsid w:val="008D5950"/>
    <w:rsid w:val="008F492D"/>
    <w:rsid w:val="00987CBC"/>
    <w:rsid w:val="009F00D8"/>
    <w:rsid w:val="00A96C59"/>
    <w:rsid w:val="00BF1B68"/>
    <w:rsid w:val="00C03FF9"/>
    <w:rsid w:val="00C1050A"/>
    <w:rsid w:val="00D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5E0DB"/>
  <w15:docId w15:val="{8803B64A-6537-2F48-AAA1-C7AC9C6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00D8"/>
    <w:pPr>
      <w:spacing w:after="0" w:line="240" w:lineRule="auto"/>
    </w:pPr>
  </w:style>
  <w:style w:type="character" w:customStyle="1" w:styleId="Absatz-Standardschriftart">
    <w:name w:val="Absatz-Standardschriftart"/>
    <w:rsid w:val="003748C2"/>
  </w:style>
  <w:style w:type="paragraph" w:styleId="Lgende">
    <w:name w:val="caption"/>
    <w:basedOn w:val="Normal"/>
    <w:qFormat/>
    <w:rsid w:val="003748C2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table" w:styleId="Grilleclaire-Accent2">
    <w:name w:val="Light Grid Accent 2"/>
    <w:basedOn w:val="TableauNormal"/>
    <w:uiPriority w:val="62"/>
    <w:rsid w:val="00BF1B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1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1Clair-Accentuation1">
    <w:name w:val="Grid Table 1 Light Accent 1"/>
    <w:basedOn w:val="TableauNormal"/>
    <w:uiPriority w:val="46"/>
    <w:rsid w:val="00C1050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C1050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C1050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7Couleur-Accentuation1">
    <w:name w:val="Grid Table 7 Colorful Accent 1"/>
    <w:basedOn w:val="TableauNormal"/>
    <w:uiPriority w:val="52"/>
    <w:rsid w:val="00C105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F492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4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che.media.eduscol.education.fr/file/Arts_plastiques/56/4/38_RA16_C4_APLA_Conseils-preco-espace-travail_DM_V3_6645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Microsoft Office User</cp:lastModifiedBy>
  <cp:revision>9</cp:revision>
  <dcterms:created xsi:type="dcterms:W3CDTF">2020-09-19T15:13:00Z</dcterms:created>
  <dcterms:modified xsi:type="dcterms:W3CDTF">2020-09-19T15:17:00Z</dcterms:modified>
</cp:coreProperties>
</file>