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2FE1B9F3" w14:textId="77777777" w:rsidTr="0029712B">
        <w:tc>
          <w:tcPr>
            <w:tcW w:w="2127" w:type="dxa"/>
          </w:tcPr>
          <w:p w14:paraId="4CEE3BE0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A7BF137" w14:textId="242295A6" w:rsidR="0029712B" w:rsidRPr="0029712B" w:rsidRDefault="00474FFD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Antibiogramme</w:t>
            </w:r>
          </w:p>
        </w:tc>
      </w:tr>
      <w:tr w:rsidR="0029712B" w14:paraId="0149A5B5" w14:textId="77777777" w:rsidTr="0029712B">
        <w:tc>
          <w:tcPr>
            <w:tcW w:w="2127" w:type="dxa"/>
          </w:tcPr>
          <w:p w14:paraId="01A7797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0ECA4ED" w14:textId="5C108CF9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9763F6"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</w:tcPr>
          <w:p w14:paraId="617FDCE2" w14:textId="77777777" w:rsidR="0029712B" w:rsidRDefault="0029712B"/>
        </w:tc>
      </w:tr>
      <w:tr w:rsidR="0029712B" w14:paraId="3C2C2FE8" w14:textId="77777777" w:rsidTr="0029712B">
        <w:tc>
          <w:tcPr>
            <w:tcW w:w="2127" w:type="dxa"/>
          </w:tcPr>
          <w:p w14:paraId="0166B33A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BF65A76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14F95485" w14:textId="77777777" w:rsidR="0029712B" w:rsidRDefault="0029712B"/>
        </w:tc>
      </w:tr>
    </w:tbl>
    <w:p w14:paraId="0636BCF6" w14:textId="77777777" w:rsidR="0029712B" w:rsidRPr="00820A74" w:rsidRDefault="0029712B" w:rsidP="00820A74">
      <w:pPr>
        <w:spacing w:after="0" w:line="240" w:lineRule="auto"/>
        <w:rPr>
          <w:rFonts w:ascii="Arial" w:hAnsi="Arial" w:cs="Arial"/>
          <w:bCs/>
        </w:rPr>
      </w:pPr>
    </w:p>
    <w:p w14:paraId="7CFBEF7F" w14:textId="77777777" w:rsidR="0029712B" w:rsidRPr="00820A74" w:rsidRDefault="0029712B" w:rsidP="00820A74">
      <w:pPr>
        <w:spacing w:after="0" w:line="240" w:lineRule="auto"/>
        <w:rPr>
          <w:rFonts w:ascii="Arial" w:hAnsi="Arial" w:cs="Arial"/>
          <w:bCs/>
        </w:rPr>
      </w:pPr>
    </w:p>
    <w:p w14:paraId="681FDBF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29456952" w14:textId="3E2A8384" w:rsidR="0029712B" w:rsidRDefault="0029712B" w:rsidP="00474FF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B5F52">
        <w:rPr>
          <w:rFonts w:ascii="Arial" w:hAnsi="Arial" w:cs="Arial"/>
        </w:rPr>
        <w:t xml:space="preserve"> Manipuler en asepsie</w:t>
      </w:r>
    </w:p>
    <w:p w14:paraId="59C3F634" w14:textId="3BC3A9BA" w:rsidR="00474FFD" w:rsidRPr="0029712B" w:rsidRDefault="0029712B" w:rsidP="00474FF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74FFD">
        <w:rPr>
          <w:rFonts w:ascii="Arial" w:hAnsi="Arial" w:cs="Arial"/>
        </w:rPr>
        <w:t>Préparer un inoculum de faible densité (0,5 Mc Farland) ou de la densité attendue</w:t>
      </w:r>
    </w:p>
    <w:p w14:paraId="278667D0" w14:textId="4FB2FDB6" w:rsidR="0029712B" w:rsidRDefault="003B5F52" w:rsidP="00474FF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74FFD">
        <w:rPr>
          <w:rFonts w:ascii="Arial" w:hAnsi="Arial" w:cs="Arial"/>
        </w:rPr>
        <w:t>Déposer les disques correctement suivant le gabarit de dépôts (bonne répartition des disques)</w:t>
      </w:r>
    </w:p>
    <w:p w14:paraId="7287A818" w14:textId="4A48DBB2" w:rsidR="00474FFD" w:rsidRPr="0029712B" w:rsidRDefault="00474FFD" w:rsidP="00474FF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Déposer en surface avec légère pression pour que les disques adhèrent correctement lors de l’incubation</w:t>
      </w:r>
    </w:p>
    <w:p w14:paraId="6A496CE1" w14:textId="2779DF6C" w:rsidR="0029712B" w:rsidRPr="0029712B" w:rsidRDefault="000667CD" w:rsidP="00474FF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Obtenir </w:t>
      </w:r>
      <w:r w:rsidR="00474FFD">
        <w:rPr>
          <w:rFonts w:ascii="Arial" w:hAnsi="Arial" w:cs="Arial"/>
        </w:rPr>
        <w:t>un recouvrement homogène sans culture confluente</w:t>
      </w:r>
    </w:p>
    <w:p w14:paraId="1DE2D72C" w14:textId="17180124" w:rsidR="0029712B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Identification des boites</w:t>
      </w:r>
    </w:p>
    <w:p w14:paraId="0EF07C27" w14:textId="04CFE4A0" w:rsidR="00395811" w:rsidRPr="0029712B" w:rsidRDefault="00395811" w:rsidP="0029712B">
      <w:pPr>
        <w:spacing w:after="0" w:line="276" w:lineRule="auto"/>
        <w:rPr>
          <w:rFonts w:ascii="Arial" w:hAnsi="Arial" w:cs="Arial"/>
        </w:rPr>
      </w:pPr>
    </w:p>
    <w:p w14:paraId="226567E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74F2C15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235AF972" w14:textId="280551C0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474FFD">
        <w:rPr>
          <w:rFonts w:ascii="Arial" w:hAnsi="Arial" w:cs="Arial"/>
        </w:rPr>
        <w:t>Disques enfoncés</w:t>
      </w:r>
      <w:r w:rsidR="00395811">
        <w:rPr>
          <w:rFonts w:ascii="Arial" w:hAnsi="Arial" w:cs="Arial"/>
        </w:rPr>
        <w:t xml:space="preserve"> profondément dans la gélose</w:t>
      </w:r>
    </w:p>
    <w:p w14:paraId="74205FC1" w14:textId="7E7D786A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474FFD">
        <w:rPr>
          <w:rFonts w:ascii="Arial" w:hAnsi="Arial" w:cs="Arial"/>
        </w:rPr>
        <w:t>Pince non stérilisée avant et après utilisation</w:t>
      </w:r>
    </w:p>
    <w:p w14:paraId="19066B0C" w14:textId="6206D1EF" w:rsidR="0029712B" w:rsidRPr="0029712B" w:rsidRDefault="003B5F5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Incubation couvercle en haut</w:t>
      </w:r>
    </w:p>
    <w:p w14:paraId="26456F9F" w14:textId="7079C206" w:rsidR="0029712B" w:rsidRPr="0029712B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Ne pas utiliser le bon milieu (GTS au lieu de Mueller Hinton)</w:t>
      </w:r>
    </w:p>
    <w:p w14:paraId="50D7EC72" w14:textId="18AF068D" w:rsidR="0029712B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Manipuler avec des gants</w:t>
      </w:r>
    </w:p>
    <w:p w14:paraId="0D9AFCB5" w14:textId="3D48E6D7" w:rsidR="00395811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Reprendre un ATB tombé sur la gélose (pénalisant pour la lecture)</w:t>
      </w:r>
    </w:p>
    <w:p w14:paraId="0213BB2B" w14:textId="17FA0F2F" w:rsidR="00395811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Elimination incorrecte de l’écouvillon souillé (suivant centre)</w:t>
      </w:r>
    </w:p>
    <w:p w14:paraId="34BF1CFC" w14:textId="77777777" w:rsidR="00395811" w:rsidRPr="0029712B" w:rsidRDefault="00395811" w:rsidP="0029712B">
      <w:pPr>
        <w:spacing w:after="0" w:line="276" w:lineRule="auto"/>
        <w:rPr>
          <w:rFonts w:ascii="Arial" w:hAnsi="Arial" w:cs="Arial"/>
        </w:rPr>
      </w:pPr>
    </w:p>
    <w:p w14:paraId="0696A869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6A9B4810" w14:textId="44C8A654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Indication sur le couvercle</w:t>
      </w:r>
    </w:p>
    <w:p w14:paraId="44FD4DBE" w14:textId="59D6B5F2" w:rsidR="0029712B" w:rsidRPr="0029712B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Oubli du tour de boite final lors de l’écouvillonnage</w:t>
      </w:r>
    </w:p>
    <w:p w14:paraId="449C4DB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B5F0BB9" w14:textId="60A1C1CD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Diversités des pratiques</w:t>
      </w:r>
    </w:p>
    <w:p w14:paraId="48519DA9" w14:textId="0176FEC1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 xml:space="preserve">Technique </w:t>
      </w:r>
      <w:r w:rsidR="00395811">
        <w:rPr>
          <w:rFonts w:ascii="Arial" w:hAnsi="Arial" w:cs="Arial"/>
        </w:rPr>
        <w:t>écouvillonnage obligatoire</w:t>
      </w:r>
    </w:p>
    <w:p w14:paraId="4D17D148" w14:textId="4562952C" w:rsidR="00395811" w:rsidRPr="0029712B" w:rsidRDefault="003958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Technique par inondation interdite</w:t>
      </w:r>
    </w:p>
    <w:p w14:paraId="68F7054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791C4B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1E457219" w14:textId="18EA8515" w:rsidR="0029712B" w:rsidRPr="0029712B" w:rsidRDefault="0029712B" w:rsidP="000667CD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5265F">
        <w:rPr>
          <w:rFonts w:ascii="Arial" w:hAnsi="Arial" w:cs="Arial"/>
        </w:rPr>
        <w:t>Inoculum 0,5 à 3 Mc Farland pour la mise en évidence de l’effet de la confluence sur le diamètre d’inhibition</w:t>
      </w: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667CD"/>
    <w:rsid w:val="0015265F"/>
    <w:rsid w:val="0029712B"/>
    <w:rsid w:val="00395811"/>
    <w:rsid w:val="003B5F52"/>
    <w:rsid w:val="00474FFD"/>
    <w:rsid w:val="00820A74"/>
    <w:rsid w:val="0097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5F76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Eric DEMOUSSEAU</cp:lastModifiedBy>
  <cp:revision>3</cp:revision>
  <dcterms:created xsi:type="dcterms:W3CDTF">2022-11-29T11:12:00Z</dcterms:created>
  <dcterms:modified xsi:type="dcterms:W3CDTF">2022-11-29T13:36:00Z</dcterms:modified>
</cp:coreProperties>
</file>