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3B4AE8B4" w14:textId="77777777" w:rsidTr="0029712B">
        <w:tc>
          <w:tcPr>
            <w:tcW w:w="2127" w:type="dxa"/>
          </w:tcPr>
          <w:p w14:paraId="1259D7A8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1BB2F417" w14:textId="2CA71CAF" w:rsidR="0029712B" w:rsidRPr="0029712B" w:rsidRDefault="004B0B33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Etat frais</w:t>
            </w:r>
          </w:p>
        </w:tc>
      </w:tr>
      <w:tr w:rsidR="0029712B" w14:paraId="6792649E" w14:textId="77777777" w:rsidTr="0029712B">
        <w:tc>
          <w:tcPr>
            <w:tcW w:w="2127" w:type="dxa"/>
          </w:tcPr>
          <w:p w14:paraId="43CE0CC5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52CCB111" w14:textId="2E29D114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4B0B33"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11B1A84E" w14:textId="2A9E5285" w:rsidR="0029712B" w:rsidRDefault="0029712B"/>
        </w:tc>
      </w:tr>
      <w:tr w:rsidR="0029712B" w14:paraId="7DF11FF4" w14:textId="77777777" w:rsidTr="0029712B">
        <w:tc>
          <w:tcPr>
            <w:tcW w:w="2127" w:type="dxa"/>
          </w:tcPr>
          <w:p w14:paraId="762AE8A6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672C0DAE" w14:textId="0A0F205F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A85E55">
              <w:rPr>
                <w:rFonts w:ascii="Arial" w:hAnsi="Arial" w:cs="Arial"/>
              </w:rPr>
              <w:t>A</w:t>
            </w:r>
          </w:p>
        </w:tc>
        <w:tc>
          <w:tcPr>
            <w:tcW w:w="6379" w:type="dxa"/>
          </w:tcPr>
          <w:p w14:paraId="2015C346" w14:textId="16D07F0D" w:rsidR="0029712B" w:rsidRDefault="0029712B"/>
        </w:tc>
      </w:tr>
    </w:tbl>
    <w:p w14:paraId="2663D771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5F4CD102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20FB1418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662BA864" w14:textId="64057C93" w:rsidR="007A2C06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2C06">
        <w:rPr>
          <w:rFonts w:ascii="Arial" w:hAnsi="Arial" w:cs="Arial"/>
        </w:rPr>
        <w:t>Prélèvement aseptique selon le contexte</w:t>
      </w:r>
    </w:p>
    <w:p w14:paraId="34DEEB84" w14:textId="66F167DA" w:rsidR="007A2C06" w:rsidRDefault="007A2C06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B0B33">
        <w:rPr>
          <w:rFonts w:ascii="Arial" w:hAnsi="Arial" w:cs="Arial"/>
        </w:rPr>
        <w:t>Remise en suspension de la souche par homogénéisation ou à l’aide de l’instrument</w:t>
      </w:r>
    </w:p>
    <w:p w14:paraId="27D1EDC2" w14:textId="46D7A399" w:rsidR="004B0B33" w:rsidRDefault="004B0B33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1648">
        <w:rPr>
          <w:rFonts w:ascii="Arial" w:hAnsi="Arial" w:cs="Arial"/>
        </w:rPr>
        <w:t>Déposer une petite goutte</w:t>
      </w:r>
    </w:p>
    <w:p w14:paraId="59AC0803" w14:textId="304B480C" w:rsidR="001F1648" w:rsidRPr="0029712B" w:rsidRDefault="001F1648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Recouvrir avec une lamelle</w:t>
      </w:r>
    </w:p>
    <w:p w14:paraId="25F716DA" w14:textId="016F4140" w:rsidR="0029712B" w:rsidRDefault="001F1648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Observer à l’objectif X 40</w:t>
      </w:r>
    </w:p>
    <w:p w14:paraId="2426DCA3" w14:textId="7E4013AE" w:rsidR="001F1648" w:rsidRDefault="001F1648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Luminosité faible</w:t>
      </w:r>
    </w:p>
    <w:p w14:paraId="7B3FEDF9" w14:textId="6FDBA8E0" w:rsidR="00D73376" w:rsidRPr="0029712B" w:rsidRDefault="00D73376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Gestion des déchets : décontamination préparation et instrument</w:t>
      </w:r>
    </w:p>
    <w:p w14:paraId="133482AA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88041C4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0481A672" w14:textId="4BE65FAC" w:rsidR="0042643C" w:rsidRDefault="0029712B" w:rsidP="001F1648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42643C">
        <w:rPr>
          <w:rFonts w:ascii="Arial" w:hAnsi="Arial" w:cs="Arial"/>
        </w:rPr>
        <w:t>Dépôt insuffisant qui s’assèche rapidement avec la lumière</w:t>
      </w:r>
    </w:p>
    <w:p w14:paraId="00BC493C" w14:textId="7B354411" w:rsidR="0042643C" w:rsidRDefault="0042643C" w:rsidP="001F164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Choix de l’objectif</w:t>
      </w:r>
    </w:p>
    <w:p w14:paraId="245571AD" w14:textId="2A9C83F2" w:rsidR="0029712B" w:rsidRDefault="0042643C" w:rsidP="001F164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1648">
        <w:rPr>
          <w:rFonts w:ascii="Arial" w:hAnsi="Arial" w:cs="Arial"/>
        </w:rPr>
        <w:t xml:space="preserve">Mauvais </w:t>
      </w:r>
      <w:r>
        <w:rPr>
          <w:rFonts w:ascii="Arial" w:hAnsi="Arial" w:cs="Arial"/>
        </w:rPr>
        <w:t>réglage de la lumière</w:t>
      </w:r>
    </w:p>
    <w:p w14:paraId="5093C164" w14:textId="20DAAA8F" w:rsidR="0042643C" w:rsidRDefault="0042643C" w:rsidP="001F164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Temps de réaction entre préparation et observation</w:t>
      </w:r>
    </w:p>
    <w:p w14:paraId="02921F78" w14:textId="285A81AC" w:rsidR="0029712B" w:rsidRDefault="00A63BF9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Débordement </w:t>
      </w:r>
      <w:r w:rsidR="00961566">
        <w:rPr>
          <w:rFonts w:ascii="Arial" w:hAnsi="Arial" w:cs="Arial"/>
        </w:rPr>
        <w:t xml:space="preserve">en dehors de la lame </w:t>
      </w:r>
      <w:r>
        <w:rPr>
          <w:rFonts w:ascii="Arial" w:hAnsi="Arial" w:cs="Arial"/>
        </w:rPr>
        <w:t>(à cause de la sécurité)</w:t>
      </w:r>
    </w:p>
    <w:p w14:paraId="46543903" w14:textId="58EA90A9" w:rsidR="0068738F" w:rsidRDefault="0068738F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Prélèvement non aseptique et échantillon ré-utilisé par la suite.</w:t>
      </w:r>
    </w:p>
    <w:p w14:paraId="39BC83D4" w14:textId="48116D40" w:rsidR="00D73376" w:rsidRDefault="00D73376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Non gestion des déchets</w:t>
      </w:r>
    </w:p>
    <w:p w14:paraId="68DCE1E2" w14:textId="77777777" w:rsidR="0068738F" w:rsidRPr="0029712B" w:rsidRDefault="0068738F" w:rsidP="0029712B">
      <w:pPr>
        <w:spacing w:after="0" w:line="276" w:lineRule="auto"/>
        <w:rPr>
          <w:rFonts w:ascii="Arial" w:hAnsi="Arial" w:cs="Arial"/>
        </w:rPr>
      </w:pPr>
    </w:p>
    <w:p w14:paraId="3ACDEC9A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720E37C1" w14:textId="13298BC5" w:rsidR="00961566" w:rsidRDefault="00961566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Débordement minime autour de la lamelle</w:t>
      </w:r>
    </w:p>
    <w:p w14:paraId="3BE3C023" w14:textId="5E3729AD" w:rsidR="00943FE9" w:rsidRPr="0029712B" w:rsidRDefault="00943FE9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Aspiration au papier filtre </w:t>
      </w:r>
      <w:r w:rsidR="00C54A7A">
        <w:rPr>
          <w:rFonts w:ascii="Arial" w:hAnsi="Arial" w:cs="Arial"/>
        </w:rPr>
        <w:t>les légers débordements</w:t>
      </w:r>
      <w:r>
        <w:rPr>
          <w:rFonts w:ascii="Arial" w:hAnsi="Arial" w:cs="Arial"/>
        </w:rPr>
        <w:t xml:space="preserve"> et bonne gestion du papier filtre contaminé.</w:t>
      </w:r>
    </w:p>
    <w:p w14:paraId="756161BF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3EFC703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10B283DA" w14:textId="2475F6A5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173D37">
        <w:rPr>
          <w:rFonts w:ascii="Arial" w:hAnsi="Arial" w:cs="Arial"/>
        </w:rPr>
        <w:t>Réaliser l’état frais à partir d’une colonie (incohérence)</w:t>
      </w:r>
    </w:p>
    <w:p w14:paraId="1DA22CE9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1A1A31C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60FB596A" w14:textId="43B5CE1A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C91B0D">
        <w:rPr>
          <w:rFonts w:ascii="Arial" w:hAnsi="Arial" w:cs="Arial"/>
        </w:rPr>
        <w:t>Enlever des fiches techniques la réalisation de l’état frais à partir d’une colonie</w:t>
      </w:r>
      <w:r w:rsidR="0038403E">
        <w:rPr>
          <w:rFonts w:ascii="Arial" w:hAnsi="Arial" w:cs="Arial"/>
        </w:rPr>
        <w:t xml:space="preserve"> (incohérence avec l’objectif de l’état frais qui vise à rechercher la mobilité)</w:t>
      </w:r>
    </w:p>
    <w:p w14:paraId="5615CE47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D976312" w14:textId="77777777" w:rsidR="0029712B" w:rsidRPr="0029712B" w:rsidRDefault="0029712B" w:rsidP="0029712B">
      <w:pPr>
        <w:rPr>
          <w:rFonts w:ascii="Arial" w:hAnsi="Arial" w:cs="Arial"/>
        </w:rPr>
      </w:pPr>
    </w:p>
    <w:p w14:paraId="53C064E2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1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173D37"/>
    <w:rsid w:val="001B1015"/>
    <w:rsid w:val="001F1648"/>
    <w:rsid w:val="0029712B"/>
    <w:rsid w:val="0038403E"/>
    <w:rsid w:val="0042643C"/>
    <w:rsid w:val="004B0B33"/>
    <w:rsid w:val="0068738F"/>
    <w:rsid w:val="007A2C06"/>
    <w:rsid w:val="00943FE9"/>
    <w:rsid w:val="00961566"/>
    <w:rsid w:val="00A63BF9"/>
    <w:rsid w:val="00A85E55"/>
    <w:rsid w:val="00C54A7A"/>
    <w:rsid w:val="00C91B0D"/>
    <w:rsid w:val="00D73376"/>
    <w:rsid w:val="00EA1ACE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F789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Agnès TROESCH</cp:lastModifiedBy>
  <cp:revision>23</cp:revision>
  <dcterms:created xsi:type="dcterms:W3CDTF">2022-11-28T20:02:00Z</dcterms:created>
  <dcterms:modified xsi:type="dcterms:W3CDTF">2022-11-29T14:53:00Z</dcterms:modified>
</cp:coreProperties>
</file>