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29BE25EF" w14:textId="77777777" w:rsidTr="0029712B">
        <w:tc>
          <w:tcPr>
            <w:tcW w:w="2127" w:type="dxa"/>
          </w:tcPr>
          <w:p w14:paraId="18EC9756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47768AF8" w14:textId="4C522276" w:rsidR="0029712B" w:rsidRPr="0029712B" w:rsidRDefault="007E6371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Immunoprécipitation</w:t>
            </w:r>
          </w:p>
        </w:tc>
      </w:tr>
      <w:tr w:rsidR="0029712B" w14:paraId="53374FC3" w14:textId="77777777" w:rsidTr="0029712B">
        <w:tc>
          <w:tcPr>
            <w:tcW w:w="2127" w:type="dxa"/>
          </w:tcPr>
          <w:p w14:paraId="7EC2137E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7672C886" w14:textId="5BC8E509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7E6371"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2C83B158" w14:textId="746D430A" w:rsidR="0029712B" w:rsidRDefault="007E6371">
            <w:r>
              <w:t>Florence, Agnès, Patrick</w:t>
            </w:r>
          </w:p>
        </w:tc>
      </w:tr>
      <w:tr w:rsidR="0029712B" w14:paraId="0EC06203" w14:textId="77777777" w:rsidTr="0029712B">
        <w:tc>
          <w:tcPr>
            <w:tcW w:w="2127" w:type="dxa"/>
          </w:tcPr>
          <w:p w14:paraId="0BFBE108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58F4A6AD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3CAB3295" w14:textId="77777777" w:rsidR="0029712B" w:rsidRDefault="0029712B"/>
        </w:tc>
      </w:tr>
    </w:tbl>
    <w:p w14:paraId="057CC571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1EAF23F2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4002AE9D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41F1A39D" w14:textId="3FA5EBEF"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E6371">
        <w:rPr>
          <w:rFonts w:ascii="Arial" w:hAnsi="Arial" w:cs="Arial"/>
        </w:rPr>
        <w:t>Réalisation des puits en respectant le bon positionnement (abaque) – techniques variables en fonction des établissements</w:t>
      </w:r>
    </w:p>
    <w:p w14:paraId="6E1E8B0F" w14:textId="3A842CE3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66729">
        <w:rPr>
          <w:rFonts w:ascii="Arial" w:hAnsi="Arial" w:cs="Arial"/>
        </w:rPr>
        <w:t>remplissage des puits sans débordement</w:t>
      </w:r>
    </w:p>
    <w:p w14:paraId="24C9B42A" w14:textId="394D4D13" w:rsidR="0029712B" w:rsidRDefault="00966729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identification des puits</w:t>
      </w:r>
    </w:p>
    <w:p w14:paraId="65929244" w14:textId="2C72A740" w:rsidR="00966729" w:rsidRPr="0029712B" w:rsidRDefault="00084B6F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respect du temps de diffusion avant lecture</w:t>
      </w:r>
    </w:p>
    <w:p w14:paraId="69117085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D16802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33FFA5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874AE9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7F5A5A13" w14:textId="0417322F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966729">
        <w:rPr>
          <w:rFonts w:ascii="Arial" w:hAnsi="Arial" w:cs="Arial"/>
        </w:rPr>
        <w:t>fissures dans la gélose</w:t>
      </w:r>
    </w:p>
    <w:p w14:paraId="483E83D6" w14:textId="4F7606AC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966729">
        <w:rPr>
          <w:rFonts w:ascii="Arial" w:hAnsi="Arial" w:cs="Arial"/>
        </w:rPr>
        <w:t>retourner la gélose</w:t>
      </w:r>
    </w:p>
    <w:p w14:paraId="2154892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31F546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3F67B3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1E2C25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3346E5D1" w14:textId="7DF0F53A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966729">
        <w:rPr>
          <w:rFonts w:ascii="Arial" w:hAnsi="Arial" w:cs="Arial"/>
        </w:rPr>
        <w:t>bord des puits irréguliers (sans impact sur la diffusion)</w:t>
      </w:r>
    </w:p>
    <w:p w14:paraId="41EB44B7" w14:textId="4598E7D2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</w:p>
    <w:p w14:paraId="79B7E66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F0E4FD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31A9A5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E9FD944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455EE17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>- Item 1</w:t>
      </w:r>
    </w:p>
    <w:p w14:paraId="63FD7CC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>- Item 2</w:t>
      </w:r>
    </w:p>
    <w:p w14:paraId="0EA9E978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76E530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E73CA05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4B1A0E89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>- Item 1</w:t>
      </w:r>
    </w:p>
    <w:p w14:paraId="41AC8D1D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>- Item 2</w:t>
      </w:r>
    </w:p>
    <w:p w14:paraId="13AE683B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4E158FB" w14:textId="77777777" w:rsidR="0029712B" w:rsidRPr="0029712B" w:rsidRDefault="0029712B" w:rsidP="0029712B">
      <w:pPr>
        <w:rPr>
          <w:rFonts w:ascii="Arial" w:hAnsi="Arial" w:cs="Arial"/>
        </w:rPr>
      </w:pPr>
    </w:p>
    <w:p w14:paraId="741F5BD7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96672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03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84B6F"/>
    <w:rsid w:val="0029712B"/>
    <w:rsid w:val="007E6371"/>
    <w:rsid w:val="0096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42B9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Patrick Grun</cp:lastModifiedBy>
  <cp:revision>3</cp:revision>
  <dcterms:created xsi:type="dcterms:W3CDTF">2022-11-28T20:02:00Z</dcterms:created>
  <dcterms:modified xsi:type="dcterms:W3CDTF">2022-11-29T14:01:00Z</dcterms:modified>
</cp:coreProperties>
</file>