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10065" w:type="dxa"/>
        <w:tblInd w:w="-431" w:type="dxa"/>
        <w:tblLook w:val="04A0" w:firstRow="1" w:lastRow="0" w:firstColumn="1" w:lastColumn="0" w:noHBand="0" w:noVBand="1"/>
      </w:tblPr>
      <w:tblGrid>
        <w:gridCol w:w="2127"/>
        <w:gridCol w:w="1559"/>
        <w:gridCol w:w="6379"/>
      </w:tblGrid>
      <w:tr w:rsidR="0029712B" w14:paraId="3728C96A" w14:textId="77777777" w:rsidTr="0029712B">
        <w:tc>
          <w:tcPr>
            <w:tcW w:w="2127" w:type="dxa"/>
          </w:tcPr>
          <w:p w14:paraId="49F9BC8C" w14:textId="77777777" w:rsidR="0029712B" w:rsidRPr="0029712B" w:rsidRDefault="0029712B">
            <w:pPr>
              <w:rPr>
                <w:rFonts w:ascii="Arial" w:hAnsi="Arial" w:cs="Arial"/>
              </w:rPr>
            </w:pPr>
            <w:r w:rsidRPr="0029712B">
              <w:rPr>
                <w:rFonts w:ascii="Arial" w:hAnsi="Arial" w:cs="Arial"/>
              </w:rPr>
              <w:t>Fiche de référence professeur</w:t>
            </w:r>
          </w:p>
        </w:tc>
        <w:tc>
          <w:tcPr>
            <w:tcW w:w="7938" w:type="dxa"/>
            <w:gridSpan w:val="2"/>
            <w:vAlign w:val="center"/>
          </w:tcPr>
          <w:p w14:paraId="0CC33083" w14:textId="4C524E6E" w:rsidR="0029712B" w:rsidRPr="0029712B" w:rsidRDefault="001C7B0B" w:rsidP="0029712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Spectrophotométrie</w:t>
            </w:r>
          </w:p>
        </w:tc>
      </w:tr>
      <w:tr w:rsidR="0029712B" w14:paraId="52F7D3FA" w14:textId="77777777" w:rsidTr="0029712B">
        <w:tc>
          <w:tcPr>
            <w:tcW w:w="2127" w:type="dxa"/>
          </w:tcPr>
          <w:p w14:paraId="32C3A759" w14:textId="77777777" w:rsidR="0029712B" w:rsidRPr="0029712B" w:rsidRDefault="0029712B">
            <w:pPr>
              <w:rPr>
                <w:rFonts w:ascii="Arial" w:hAnsi="Arial" w:cs="Arial"/>
              </w:rPr>
            </w:pPr>
            <w:r w:rsidRPr="0029712B">
              <w:rPr>
                <w:rFonts w:ascii="Arial" w:hAnsi="Arial" w:cs="Arial"/>
              </w:rPr>
              <w:t xml:space="preserve">Elaboration </w:t>
            </w:r>
          </w:p>
        </w:tc>
        <w:tc>
          <w:tcPr>
            <w:tcW w:w="1559" w:type="dxa"/>
          </w:tcPr>
          <w:p w14:paraId="16F7D1E2" w14:textId="032AAE79" w:rsidR="0029712B" w:rsidRPr="0029712B" w:rsidRDefault="0029712B" w:rsidP="0029712B">
            <w:pPr>
              <w:ind w:left="-578" w:firstLine="578"/>
              <w:rPr>
                <w:rFonts w:ascii="Arial" w:hAnsi="Arial" w:cs="Arial"/>
              </w:rPr>
            </w:pPr>
            <w:r w:rsidRPr="0029712B">
              <w:rPr>
                <w:rFonts w:ascii="Arial" w:hAnsi="Arial" w:cs="Arial"/>
              </w:rPr>
              <w:t xml:space="preserve">Groupe </w:t>
            </w:r>
            <w:r w:rsidR="001C7B0B">
              <w:rPr>
                <w:rFonts w:ascii="Arial" w:hAnsi="Arial" w:cs="Arial"/>
              </w:rPr>
              <w:t>1</w:t>
            </w:r>
          </w:p>
        </w:tc>
        <w:tc>
          <w:tcPr>
            <w:tcW w:w="6379" w:type="dxa"/>
          </w:tcPr>
          <w:p w14:paraId="3C3B88B1" w14:textId="67E53479" w:rsidR="0029712B" w:rsidRDefault="001C7B0B">
            <w:r>
              <w:t>Florence, Agnès, Patrick</w:t>
            </w:r>
          </w:p>
        </w:tc>
      </w:tr>
      <w:tr w:rsidR="0029712B" w14:paraId="1BEA1C8B" w14:textId="77777777" w:rsidTr="0029712B">
        <w:tc>
          <w:tcPr>
            <w:tcW w:w="2127" w:type="dxa"/>
          </w:tcPr>
          <w:p w14:paraId="088C0A52" w14:textId="77777777" w:rsidR="0029712B" w:rsidRPr="0029712B" w:rsidRDefault="0029712B">
            <w:pPr>
              <w:rPr>
                <w:rFonts w:ascii="Arial" w:hAnsi="Arial" w:cs="Arial"/>
              </w:rPr>
            </w:pPr>
            <w:r w:rsidRPr="0029712B">
              <w:rPr>
                <w:rFonts w:ascii="Arial" w:hAnsi="Arial" w:cs="Arial"/>
              </w:rPr>
              <w:t xml:space="preserve">Relecture </w:t>
            </w:r>
          </w:p>
        </w:tc>
        <w:tc>
          <w:tcPr>
            <w:tcW w:w="1559" w:type="dxa"/>
          </w:tcPr>
          <w:p w14:paraId="7F749FDC" w14:textId="77777777" w:rsidR="0029712B" w:rsidRPr="0029712B" w:rsidRDefault="0029712B">
            <w:pPr>
              <w:rPr>
                <w:rFonts w:ascii="Arial" w:hAnsi="Arial" w:cs="Arial"/>
              </w:rPr>
            </w:pPr>
            <w:r w:rsidRPr="0029712B">
              <w:rPr>
                <w:rFonts w:ascii="Arial" w:hAnsi="Arial" w:cs="Arial"/>
              </w:rPr>
              <w:t xml:space="preserve">Groupe </w:t>
            </w:r>
          </w:p>
        </w:tc>
        <w:tc>
          <w:tcPr>
            <w:tcW w:w="6379" w:type="dxa"/>
          </w:tcPr>
          <w:p w14:paraId="3825C457" w14:textId="77777777" w:rsidR="0029712B" w:rsidRDefault="0029712B"/>
        </w:tc>
      </w:tr>
    </w:tbl>
    <w:p w14:paraId="7F55B94A" w14:textId="77777777" w:rsidR="0029712B" w:rsidRPr="0029712B" w:rsidRDefault="0029712B">
      <w:pPr>
        <w:rPr>
          <w:rFonts w:ascii="Arial" w:hAnsi="Arial" w:cs="Arial"/>
          <w:b/>
          <w:sz w:val="24"/>
          <w:szCs w:val="24"/>
        </w:rPr>
      </w:pPr>
    </w:p>
    <w:p w14:paraId="16B23FF3" w14:textId="77777777" w:rsidR="0029712B" w:rsidRPr="0029712B" w:rsidRDefault="0029712B">
      <w:pPr>
        <w:rPr>
          <w:rFonts w:ascii="Arial" w:hAnsi="Arial" w:cs="Arial"/>
          <w:b/>
          <w:sz w:val="24"/>
          <w:szCs w:val="24"/>
        </w:rPr>
      </w:pPr>
    </w:p>
    <w:p w14:paraId="4F4C0EB0" w14:textId="77777777" w:rsidR="0029712B" w:rsidRPr="0029712B" w:rsidRDefault="0029712B" w:rsidP="0029712B">
      <w:pPr>
        <w:pStyle w:val="Paragraphedeliste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29712B">
        <w:rPr>
          <w:rFonts w:ascii="Arial" w:hAnsi="Arial" w:cs="Arial"/>
          <w:b/>
          <w:sz w:val="24"/>
          <w:szCs w:val="24"/>
        </w:rPr>
        <w:t>Attendus pour un niveau maitrisé</w:t>
      </w:r>
    </w:p>
    <w:p w14:paraId="0F37E8F6" w14:textId="400747D3" w:rsidR="00EC2D11" w:rsidRDefault="00EC2D11" w:rsidP="0029712B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choisir </w:t>
      </w:r>
      <w:r w:rsidR="00B828A8">
        <w:rPr>
          <w:rFonts w:ascii="Arial" w:hAnsi="Arial" w:cs="Arial"/>
        </w:rPr>
        <w:t>volume et type</w:t>
      </w:r>
      <w:r>
        <w:rPr>
          <w:rFonts w:ascii="Arial" w:hAnsi="Arial" w:cs="Arial"/>
        </w:rPr>
        <w:t xml:space="preserve"> de cuve adapté à la manipulation</w:t>
      </w:r>
    </w:p>
    <w:p w14:paraId="33DC65BB" w14:textId="3663015C" w:rsidR="0029712B" w:rsidRDefault="0029712B" w:rsidP="0029712B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1C7B0B">
        <w:rPr>
          <w:rFonts w:ascii="Arial" w:hAnsi="Arial" w:cs="Arial"/>
        </w:rPr>
        <w:t xml:space="preserve"> </w:t>
      </w:r>
      <w:r w:rsidR="00EC2D11">
        <w:rPr>
          <w:rFonts w:ascii="Arial" w:hAnsi="Arial" w:cs="Arial"/>
        </w:rPr>
        <w:t>remplissage des cuves possible par transvasement (gants si produits corrosifs)</w:t>
      </w:r>
    </w:p>
    <w:p w14:paraId="357254F7" w14:textId="308FD9D4" w:rsidR="00EC2D11" w:rsidRDefault="00EC2D11" w:rsidP="0029712B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- remplissage des cuves au 2/3</w:t>
      </w:r>
    </w:p>
    <w:p w14:paraId="19A46146" w14:textId="4F08E899" w:rsidR="00EC2D11" w:rsidRDefault="00EC2D11" w:rsidP="0029712B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spellStart"/>
      <w:r>
        <w:rPr>
          <w:rFonts w:ascii="Arial" w:hAnsi="Arial" w:cs="Arial"/>
        </w:rPr>
        <w:t>parafilmer</w:t>
      </w:r>
      <w:proofErr w:type="spellEnd"/>
      <w:r>
        <w:rPr>
          <w:rFonts w:ascii="Arial" w:hAnsi="Arial" w:cs="Arial"/>
        </w:rPr>
        <w:t xml:space="preserve"> systématiquement</w:t>
      </w:r>
    </w:p>
    <w:p w14:paraId="23D0156B" w14:textId="3884B0DA" w:rsidR="00EC2D11" w:rsidRDefault="00EC2D11" w:rsidP="0029712B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- homogénéiser par retournement</w:t>
      </w:r>
    </w:p>
    <w:p w14:paraId="55817FC0" w14:textId="19F5599C" w:rsidR="00EC2D11" w:rsidRDefault="00EC2D11" w:rsidP="0029712B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- essuyer paroi de la cuve au papier Joseph</w:t>
      </w:r>
    </w:p>
    <w:p w14:paraId="747B7F2C" w14:textId="3F515D3F" w:rsidR="00EC2D11" w:rsidRDefault="00EC2D11" w:rsidP="0029712B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introduire la cuve </w:t>
      </w:r>
      <w:r w:rsidR="00DC1A0A">
        <w:rPr>
          <w:rFonts w:ascii="Arial" w:hAnsi="Arial" w:cs="Arial"/>
        </w:rPr>
        <w:t xml:space="preserve">« blanc » </w:t>
      </w:r>
      <w:r>
        <w:rPr>
          <w:rFonts w:ascii="Arial" w:hAnsi="Arial" w:cs="Arial"/>
        </w:rPr>
        <w:t>dans le bon sens</w:t>
      </w:r>
    </w:p>
    <w:p w14:paraId="2F731A2C" w14:textId="63BFE691" w:rsidR="00DC1A0A" w:rsidRDefault="00DC1A0A" w:rsidP="0029712B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- paramétrer le spectrophotomètre (longueur d’onde</w:t>
      </w:r>
      <w:r w:rsidR="008704CD">
        <w:rPr>
          <w:rFonts w:ascii="Arial" w:hAnsi="Arial" w:cs="Arial"/>
        </w:rPr>
        <w:t>…autre si nécessaire</w:t>
      </w:r>
      <w:r>
        <w:rPr>
          <w:rFonts w:ascii="Arial" w:hAnsi="Arial" w:cs="Arial"/>
        </w:rPr>
        <w:t>)</w:t>
      </w:r>
    </w:p>
    <w:p w14:paraId="29379113" w14:textId="048E5994" w:rsidR="0029712B" w:rsidRDefault="00DC1A0A" w:rsidP="0029712B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- faire le zéro</w:t>
      </w:r>
      <w:r w:rsidR="00017920">
        <w:rPr>
          <w:rFonts w:ascii="Arial" w:hAnsi="Arial" w:cs="Arial"/>
        </w:rPr>
        <w:t xml:space="preserve"> (si nécessaire… variantes possibles en cinétique)</w:t>
      </w:r>
    </w:p>
    <w:p w14:paraId="05A5D4D8" w14:textId="4FD6556B" w:rsidR="00DC1A0A" w:rsidRDefault="00DC1A0A" w:rsidP="0029712B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- placer l’essai (correctement essuyé)</w:t>
      </w:r>
    </w:p>
    <w:p w14:paraId="6C97CA4D" w14:textId="7530FF77" w:rsidR="00DC1A0A" w:rsidRPr="0029712B" w:rsidRDefault="00DC1A0A" w:rsidP="0029712B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- relever l’absorbance</w:t>
      </w:r>
    </w:p>
    <w:p w14:paraId="53C54D15" w14:textId="77777777" w:rsidR="0029712B" w:rsidRPr="0029712B" w:rsidRDefault="0029712B" w:rsidP="0029712B">
      <w:pPr>
        <w:spacing w:after="0" w:line="276" w:lineRule="auto"/>
        <w:rPr>
          <w:rFonts w:ascii="Arial" w:hAnsi="Arial" w:cs="Arial"/>
        </w:rPr>
      </w:pPr>
    </w:p>
    <w:p w14:paraId="532B0DE6" w14:textId="77777777" w:rsidR="0029712B" w:rsidRPr="0029712B" w:rsidRDefault="0029712B" w:rsidP="0029712B">
      <w:pPr>
        <w:spacing w:after="0" w:line="276" w:lineRule="auto"/>
        <w:rPr>
          <w:rFonts w:ascii="Arial" w:hAnsi="Arial" w:cs="Arial"/>
        </w:rPr>
      </w:pPr>
    </w:p>
    <w:p w14:paraId="35C10048" w14:textId="77777777" w:rsidR="0029712B" w:rsidRPr="0029712B" w:rsidRDefault="0029712B" w:rsidP="0029712B">
      <w:pPr>
        <w:spacing w:after="0" w:line="276" w:lineRule="auto"/>
        <w:rPr>
          <w:rFonts w:ascii="Arial" w:hAnsi="Arial" w:cs="Arial"/>
        </w:rPr>
      </w:pPr>
    </w:p>
    <w:p w14:paraId="483487D2" w14:textId="77777777" w:rsidR="0029712B" w:rsidRPr="0029712B" w:rsidRDefault="0029712B" w:rsidP="0029712B">
      <w:pPr>
        <w:spacing w:after="0" w:line="276" w:lineRule="auto"/>
        <w:rPr>
          <w:rFonts w:ascii="Arial" w:hAnsi="Arial" w:cs="Arial"/>
        </w:rPr>
      </w:pPr>
    </w:p>
    <w:p w14:paraId="224B6FF0" w14:textId="77777777" w:rsidR="0029712B" w:rsidRPr="0029712B" w:rsidRDefault="0029712B" w:rsidP="0029712B">
      <w:pPr>
        <w:pStyle w:val="Paragraphedeliste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29712B">
        <w:rPr>
          <w:rFonts w:ascii="Arial" w:hAnsi="Arial" w:cs="Arial"/>
          <w:b/>
          <w:sz w:val="24"/>
          <w:szCs w:val="24"/>
        </w:rPr>
        <w:t>Erreurs majeures pénalisantes</w:t>
      </w:r>
    </w:p>
    <w:p w14:paraId="3A1B5ECF" w14:textId="77777777" w:rsidR="008704CD" w:rsidRDefault="008704CD" w:rsidP="008704CD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- voir les attendus !</w:t>
      </w:r>
    </w:p>
    <w:p w14:paraId="266ADB58" w14:textId="1B461879" w:rsidR="0029712B" w:rsidRPr="0029712B" w:rsidRDefault="0029712B" w:rsidP="0029712B">
      <w:pPr>
        <w:spacing w:after="0" w:line="276" w:lineRule="auto"/>
        <w:rPr>
          <w:rFonts w:ascii="Arial" w:hAnsi="Arial" w:cs="Arial"/>
        </w:rPr>
      </w:pPr>
    </w:p>
    <w:p w14:paraId="6C6D7823" w14:textId="77777777" w:rsidR="0029712B" w:rsidRPr="0029712B" w:rsidRDefault="0029712B" w:rsidP="0029712B">
      <w:pPr>
        <w:spacing w:after="0" w:line="276" w:lineRule="auto"/>
        <w:rPr>
          <w:rFonts w:ascii="Arial" w:hAnsi="Arial" w:cs="Arial"/>
        </w:rPr>
      </w:pPr>
    </w:p>
    <w:p w14:paraId="3EA6C742" w14:textId="77777777" w:rsidR="0029712B" w:rsidRPr="0029712B" w:rsidRDefault="0029712B" w:rsidP="0029712B">
      <w:pPr>
        <w:spacing w:after="0" w:line="276" w:lineRule="auto"/>
        <w:rPr>
          <w:rFonts w:ascii="Arial" w:hAnsi="Arial" w:cs="Arial"/>
        </w:rPr>
      </w:pPr>
    </w:p>
    <w:p w14:paraId="1F370239" w14:textId="77777777" w:rsidR="0029712B" w:rsidRPr="0029712B" w:rsidRDefault="0029712B" w:rsidP="0029712B">
      <w:pPr>
        <w:spacing w:after="0" w:line="276" w:lineRule="auto"/>
        <w:rPr>
          <w:rFonts w:ascii="Arial" w:hAnsi="Arial" w:cs="Arial"/>
        </w:rPr>
      </w:pPr>
    </w:p>
    <w:p w14:paraId="1C5D16FB" w14:textId="77777777" w:rsidR="0029712B" w:rsidRPr="0029712B" w:rsidRDefault="0029712B" w:rsidP="0029712B">
      <w:pPr>
        <w:pStyle w:val="Paragraphedeliste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29712B">
        <w:rPr>
          <w:rFonts w:ascii="Arial" w:hAnsi="Arial" w:cs="Arial"/>
          <w:b/>
          <w:sz w:val="24"/>
          <w:szCs w:val="24"/>
        </w:rPr>
        <w:t>Erreurs mineures non pénalisantes</w:t>
      </w:r>
    </w:p>
    <w:p w14:paraId="3A475F98" w14:textId="616BCD93" w:rsidR="0029712B" w:rsidRPr="0029712B" w:rsidRDefault="0029712B" w:rsidP="0029712B">
      <w:pPr>
        <w:spacing w:after="0" w:line="276" w:lineRule="auto"/>
        <w:rPr>
          <w:rFonts w:ascii="Arial" w:hAnsi="Arial" w:cs="Arial"/>
        </w:rPr>
      </w:pPr>
      <w:r w:rsidRPr="0029712B">
        <w:rPr>
          <w:rFonts w:ascii="Arial" w:hAnsi="Arial" w:cs="Arial"/>
        </w:rPr>
        <w:t xml:space="preserve">- </w:t>
      </w:r>
      <w:r w:rsidR="008704CD">
        <w:rPr>
          <w:rFonts w:ascii="Arial" w:hAnsi="Arial" w:cs="Arial"/>
        </w:rPr>
        <w:t>pas d’essuyage des cuves (cuves neuves et pas de coulure)</w:t>
      </w:r>
    </w:p>
    <w:p w14:paraId="5F2B1DD6" w14:textId="5A0CC8FD" w:rsidR="0029712B" w:rsidRPr="0029712B" w:rsidRDefault="008704CD" w:rsidP="0029712B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- défalcation de la valeur d’absorbance du blanc</w:t>
      </w:r>
    </w:p>
    <w:p w14:paraId="14248FDC" w14:textId="77777777" w:rsidR="0029712B" w:rsidRPr="0029712B" w:rsidRDefault="0029712B" w:rsidP="0029712B">
      <w:pPr>
        <w:spacing w:after="0" w:line="276" w:lineRule="auto"/>
        <w:rPr>
          <w:rFonts w:ascii="Arial" w:hAnsi="Arial" w:cs="Arial"/>
        </w:rPr>
      </w:pPr>
    </w:p>
    <w:p w14:paraId="59AF9ABA" w14:textId="77777777" w:rsidR="0029712B" w:rsidRPr="0029712B" w:rsidRDefault="0029712B" w:rsidP="0029712B">
      <w:pPr>
        <w:spacing w:after="0" w:line="276" w:lineRule="auto"/>
        <w:rPr>
          <w:rFonts w:ascii="Arial" w:hAnsi="Arial" w:cs="Arial"/>
        </w:rPr>
      </w:pPr>
    </w:p>
    <w:p w14:paraId="40CFA710" w14:textId="77777777" w:rsidR="0029712B" w:rsidRPr="0029712B" w:rsidRDefault="0029712B" w:rsidP="0029712B">
      <w:pPr>
        <w:spacing w:after="0" w:line="276" w:lineRule="auto"/>
        <w:rPr>
          <w:rFonts w:ascii="Arial" w:hAnsi="Arial" w:cs="Arial"/>
        </w:rPr>
      </w:pPr>
    </w:p>
    <w:p w14:paraId="7948F450" w14:textId="77777777" w:rsidR="0029712B" w:rsidRPr="0029712B" w:rsidRDefault="0029712B" w:rsidP="0029712B">
      <w:pPr>
        <w:pStyle w:val="Paragraphedeliste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29712B">
        <w:rPr>
          <w:rFonts w:ascii="Arial" w:hAnsi="Arial" w:cs="Arial"/>
          <w:b/>
          <w:sz w:val="24"/>
          <w:szCs w:val="24"/>
        </w:rPr>
        <w:t xml:space="preserve">Diversités des pratiques </w:t>
      </w:r>
    </w:p>
    <w:p w14:paraId="7ED1A9A7" w14:textId="77777777" w:rsidR="0029712B" w:rsidRPr="0029712B" w:rsidRDefault="0029712B" w:rsidP="0029712B">
      <w:pPr>
        <w:spacing w:after="0" w:line="276" w:lineRule="auto"/>
        <w:rPr>
          <w:rFonts w:ascii="Arial" w:hAnsi="Arial" w:cs="Arial"/>
        </w:rPr>
      </w:pPr>
      <w:r w:rsidRPr="0029712B">
        <w:rPr>
          <w:rFonts w:ascii="Arial" w:hAnsi="Arial" w:cs="Arial"/>
        </w:rPr>
        <w:t>- Item 1</w:t>
      </w:r>
    </w:p>
    <w:p w14:paraId="4C6670F7" w14:textId="77777777" w:rsidR="0029712B" w:rsidRPr="0029712B" w:rsidRDefault="0029712B" w:rsidP="0029712B">
      <w:pPr>
        <w:spacing w:after="0" w:line="276" w:lineRule="auto"/>
        <w:rPr>
          <w:rFonts w:ascii="Arial" w:hAnsi="Arial" w:cs="Arial"/>
        </w:rPr>
      </w:pPr>
      <w:r w:rsidRPr="0029712B">
        <w:rPr>
          <w:rFonts w:ascii="Arial" w:hAnsi="Arial" w:cs="Arial"/>
        </w:rPr>
        <w:t>- Item 2</w:t>
      </w:r>
    </w:p>
    <w:p w14:paraId="110892F8" w14:textId="77777777" w:rsidR="0029712B" w:rsidRPr="0029712B" w:rsidRDefault="0029712B" w:rsidP="0029712B">
      <w:pPr>
        <w:spacing w:after="0" w:line="276" w:lineRule="auto"/>
        <w:rPr>
          <w:rFonts w:ascii="Arial" w:hAnsi="Arial" w:cs="Arial"/>
        </w:rPr>
      </w:pPr>
    </w:p>
    <w:p w14:paraId="10FAE267" w14:textId="77777777" w:rsidR="0029712B" w:rsidRPr="0029712B" w:rsidRDefault="0029712B" w:rsidP="0029712B">
      <w:pPr>
        <w:spacing w:after="0" w:line="276" w:lineRule="auto"/>
        <w:rPr>
          <w:rFonts w:ascii="Arial" w:hAnsi="Arial" w:cs="Arial"/>
        </w:rPr>
      </w:pPr>
    </w:p>
    <w:p w14:paraId="03CC46A3" w14:textId="77777777" w:rsidR="0029712B" w:rsidRPr="0029712B" w:rsidRDefault="0029712B" w:rsidP="0029712B">
      <w:pPr>
        <w:pStyle w:val="Paragraphedeliste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29712B">
        <w:rPr>
          <w:rFonts w:ascii="Arial" w:hAnsi="Arial" w:cs="Arial"/>
          <w:b/>
          <w:sz w:val="24"/>
          <w:szCs w:val="24"/>
        </w:rPr>
        <w:t xml:space="preserve">Propositions pédagogiques </w:t>
      </w:r>
    </w:p>
    <w:p w14:paraId="4EBE9E0D" w14:textId="6928D79A" w:rsidR="0029712B" w:rsidRPr="0029712B" w:rsidRDefault="0029712B" w:rsidP="0029712B">
      <w:pPr>
        <w:spacing w:after="0" w:line="276" w:lineRule="auto"/>
        <w:rPr>
          <w:rFonts w:ascii="Arial" w:hAnsi="Arial" w:cs="Arial"/>
        </w:rPr>
      </w:pPr>
      <w:r w:rsidRPr="0029712B">
        <w:rPr>
          <w:rFonts w:ascii="Arial" w:hAnsi="Arial" w:cs="Arial"/>
        </w:rPr>
        <w:t xml:space="preserve">- </w:t>
      </w:r>
      <w:r w:rsidR="00DC1A0A">
        <w:rPr>
          <w:rFonts w:ascii="Arial" w:hAnsi="Arial" w:cs="Arial"/>
        </w:rPr>
        <w:t>Ne pas jeter les cuves directement (au cas où il serait nécessaire de refaire certaines mesures)</w:t>
      </w:r>
    </w:p>
    <w:p w14:paraId="01C23377" w14:textId="1166D1B4" w:rsidR="0029712B" w:rsidRPr="0029712B" w:rsidRDefault="0029712B" w:rsidP="0029712B">
      <w:pPr>
        <w:spacing w:after="0" w:line="276" w:lineRule="auto"/>
        <w:rPr>
          <w:rFonts w:ascii="Arial" w:hAnsi="Arial" w:cs="Arial"/>
        </w:rPr>
      </w:pPr>
    </w:p>
    <w:p w14:paraId="123D0E70" w14:textId="77777777" w:rsidR="0029712B" w:rsidRPr="0029712B" w:rsidRDefault="0029712B" w:rsidP="0029712B">
      <w:pPr>
        <w:spacing w:after="0" w:line="276" w:lineRule="auto"/>
        <w:rPr>
          <w:rFonts w:ascii="Arial" w:hAnsi="Arial" w:cs="Arial"/>
        </w:rPr>
      </w:pPr>
    </w:p>
    <w:p w14:paraId="2ABC91DA" w14:textId="77777777" w:rsidR="0029712B" w:rsidRPr="0029712B" w:rsidRDefault="0029712B" w:rsidP="0029712B">
      <w:pPr>
        <w:rPr>
          <w:rFonts w:ascii="Arial" w:hAnsi="Arial" w:cs="Arial"/>
        </w:rPr>
      </w:pPr>
    </w:p>
    <w:sectPr w:rsidR="0029712B" w:rsidRPr="0029712B" w:rsidSect="0029712B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B27DBF"/>
    <w:multiLevelType w:val="hybridMultilevel"/>
    <w:tmpl w:val="0F6A9D1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7763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12B"/>
    <w:rsid w:val="00017920"/>
    <w:rsid w:val="001C7B0B"/>
    <w:rsid w:val="0029712B"/>
    <w:rsid w:val="008704CD"/>
    <w:rsid w:val="00B828A8"/>
    <w:rsid w:val="00DC1A0A"/>
    <w:rsid w:val="00EC2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2A3A1"/>
  <w15:chartTrackingRefBased/>
  <w15:docId w15:val="{C1A5EA67-C89C-4983-AC0B-11FA6825D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712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97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2971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162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Faller</dc:creator>
  <cp:keywords/>
  <dc:description/>
  <cp:lastModifiedBy>Patrick Grun</cp:lastModifiedBy>
  <cp:revision>3</cp:revision>
  <dcterms:created xsi:type="dcterms:W3CDTF">2022-11-28T20:02:00Z</dcterms:created>
  <dcterms:modified xsi:type="dcterms:W3CDTF">2022-11-29T13:49:00Z</dcterms:modified>
</cp:coreProperties>
</file>