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3012"/>
        <w:gridCol w:w="3227"/>
      </w:tblGrid>
      <w:tr w:rsidR="00106B52" w14:paraId="48DD4C74" w14:textId="77777777" w:rsidTr="00106B52">
        <w:tc>
          <w:tcPr>
            <w:tcW w:w="3020" w:type="dxa"/>
          </w:tcPr>
          <w:p w14:paraId="6269580F" w14:textId="518A8FE4" w:rsidR="001A4C35" w:rsidRDefault="001A4C35">
            <w:r>
              <w:rPr>
                <w:noProof/>
                <w:lang w:eastAsia="fr-FR"/>
              </w:rPr>
              <w:drawing>
                <wp:inline distT="0" distB="0" distL="0" distR="0" wp14:anchorId="4BBF0F7E" wp14:editId="7D81EB30">
                  <wp:extent cx="753427" cy="1367839"/>
                  <wp:effectExtent l="0" t="2540" r="635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67320" cy="1393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62D98D50" w14:textId="77777777" w:rsidR="00106B52" w:rsidRDefault="00106B52"/>
          <w:p w14:paraId="7E6426F0" w14:textId="0390BE1A" w:rsidR="001A4C35" w:rsidRDefault="00106B52">
            <w:r>
              <w:rPr>
                <w:noProof/>
                <w:lang w:eastAsia="fr-FR"/>
              </w:rPr>
              <w:drawing>
                <wp:inline distT="0" distB="0" distL="0" distR="0" wp14:anchorId="28AE4814" wp14:editId="325B4054">
                  <wp:extent cx="1762125" cy="36924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53" cy="384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194D8EB" w14:textId="77777777" w:rsidR="001A4C35" w:rsidRDefault="001A4C35"/>
          <w:p w14:paraId="6336D02D" w14:textId="5E344EE4" w:rsidR="001A4C35" w:rsidRDefault="00106B52">
            <w:r>
              <w:rPr>
                <w:noProof/>
                <w:lang w:eastAsia="fr-FR"/>
              </w:rPr>
              <w:drawing>
                <wp:inline distT="0" distB="0" distL="0" distR="0" wp14:anchorId="17C35AF8" wp14:editId="17A3D78B">
                  <wp:extent cx="1912149" cy="51943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2" cy="52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B52" w14:paraId="3E277C5A" w14:textId="77777777" w:rsidTr="00106B52">
        <w:tc>
          <w:tcPr>
            <w:tcW w:w="3020" w:type="dxa"/>
            <w:tcBorders>
              <w:bottom w:val="single" w:sz="18" w:space="0" w:color="auto"/>
            </w:tcBorders>
          </w:tcPr>
          <w:p w14:paraId="6CCACC83" w14:textId="77777777" w:rsidR="001A4C35" w:rsidRDefault="001A4C35"/>
        </w:tc>
        <w:tc>
          <w:tcPr>
            <w:tcW w:w="3021" w:type="dxa"/>
            <w:tcBorders>
              <w:bottom w:val="single" w:sz="18" w:space="0" w:color="auto"/>
            </w:tcBorders>
          </w:tcPr>
          <w:p w14:paraId="3B14BDA5" w14:textId="77777777" w:rsidR="001A4C35" w:rsidRDefault="001A4C35"/>
        </w:tc>
        <w:tc>
          <w:tcPr>
            <w:tcW w:w="3021" w:type="dxa"/>
            <w:tcBorders>
              <w:bottom w:val="single" w:sz="18" w:space="0" w:color="auto"/>
            </w:tcBorders>
          </w:tcPr>
          <w:p w14:paraId="25BC26C1" w14:textId="77777777" w:rsidR="001A4C35" w:rsidRDefault="001A4C35"/>
        </w:tc>
      </w:tr>
      <w:tr w:rsidR="00024041" w14:paraId="369EA6D5" w14:textId="77777777" w:rsidTr="00106B52">
        <w:tc>
          <w:tcPr>
            <w:tcW w:w="90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21A59" w14:textId="77777777" w:rsidR="00024041" w:rsidRPr="00024041" w:rsidRDefault="00024041" w:rsidP="00024041">
            <w:pPr>
              <w:jc w:val="center"/>
              <w:rPr>
                <w:b/>
                <w:bCs/>
              </w:rPr>
            </w:pPr>
            <w:r w:rsidRPr="00024041">
              <w:rPr>
                <w:b/>
                <w:bCs/>
              </w:rPr>
              <w:t>ERASMUS+</w:t>
            </w:r>
          </w:p>
          <w:p w14:paraId="4FC794A7" w14:textId="1E6DC657" w:rsidR="00024041" w:rsidRDefault="00E12EA8" w:rsidP="00024041">
            <w:pPr>
              <w:jc w:val="center"/>
            </w:pPr>
            <w:r>
              <w:rPr>
                <w:b/>
                <w:bCs/>
              </w:rPr>
              <w:t>MIRABEEL</w:t>
            </w:r>
          </w:p>
        </w:tc>
      </w:tr>
      <w:tr w:rsidR="00106B52" w14:paraId="38A937D7" w14:textId="77777777" w:rsidTr="00106B52">
        <w:tc>
          <w:tcPr>
            <w:tcW w:w="3020" w:type="dxa"/>
            <w:tcBorders>
              <w:top w:val="single" w:sz="18" w:space="0" w:color="auto"/>
            </w:tcBorders>
          </w:tcPr>
          <w:p w14:paraId="4AEDE7C0" w14:textId="77777777" w:rsidR="001A4C35" w:rsidRDefault="001A4C35"/>
        </w:tc>
        <w:tc>
          <w:tcPr>
            <w:tcW w:w="3021" w:type="dxa"/>
            <w:tcBorders>
              <w:top w:val="single" w:sz="18" w:space="0" w:color="auto"/>
            </w:tcBorders>
          </w:tcPr>
          <w:p w14:paraId="23E08DBD" w14:textId="77777777" w:rsidR="001A4C35" w:rsidRPr="00024041" w:rsidRDefault="001A4C35" w:rsidP="00024041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single" w:sz="18" w:space="0" w:color="auto"/>
            </w:tcBorders>
          </w:tcPr>
          <w:p w14:paraId="78AA4F18" w14:textId="77777777" w:rsidR="001A4C35" w:rsidRDefault="001A4C35"/>
        </w:tc>
      </w:tr>
    </w:tbl>
    <w:p w14:paraId="739CBE9C" w14:textId="098034E9" w:rsidR="006A32FB" w:rsidRDefault="006A32FB"/>
    <w:p w14:paraId="167A8C9D" w14:textId="2EDB28A5" w:rsidR="001A4C35" w:rsidRPr="00024041" w:rsidRDefault="001A4C35" w:rsidP="00024041">
      <w:pPr>
        <w:jc w:val="both"/>
        <w:rPr>
          <w:b/>
          <w:bCs/>
          <w:u w:val="single"/>
        </w:rPr>
      </w:pPr>
      <w:r w:rsidRPr="00024041">
        <w:rPr>
          <w:b/>
          <w:bCs/>
          <w:u w:val="single"/>
        </w:rPr>
        <w:t xml:space="preserve">Qu’est-ce que </w:t>
      </w:r>
      <w:r w:rsidR="00D8739D">
        <w:rPr>
          <w:b/>
          <w:bCs/>
          <w:u w:val="single"/>
        </w:rPr>
        <w:t xml:space="preserve">le programme ERASMUS+ </w:t>
      </w:r>
      <w:r w:rsidR="00E12EA8">
        <w:rPr>
          <w:b/>
          <w:bCs/>
          <w:u w:val="single"/>
        </w:rPr>
        <w:t>MIRABEEL</w:t>
      </w:r>
      <w:r w:rsidRPr="00024041">
        <w:rPr>
          <w:b/>
          <w:bCs/>
          <w:u w:val="single"/>
        </w:rPr>
        <w:t> ?</w:t>
      </w:r>
    </w:p>
    <w:p w14:paraId="3BAB32FD" w14:textId="40A274ED" w:rsidR="001A4C35" w:rsidRDefault="00E12EA8" w:rsidP="00024041">
      <w:pPr>
        <w:jc w:val="both"/>
      </w:pPr>
      <w:r>
        <w:t>MIRABEEL</w:t>
      </w:r>
      <w:r w:rsidR="001A4C35">
        <w:t xml:space="preserve"> est un projet Erasmus+ </w:t>
      </w:r>
      <w:r w:rsidR="00E334B9">
        <w:t xml:space="preserve">de </w:t>
      </w:r>
      <w:r w:rsidR="001A4C35">
        <w:t xml:space="preserve">l’Académie de Nancy-Metz qui dispose d’une accréditation Erasmus+ </w:t>
      </w:r>
      <w:r w:rsidR="00E334B9">
        <w:t xml:space="preserve">et bénéficie ainsi de financements européens jusqu’en </w:t>
      </w:r>
      <w:r w:rsidR="001A4C35">
        <w:t>2027.</w:t>
      </w:r>
    </w:p>
    <w:p w14:paraId="1D5BFB1B" w14:textId="7CF0E022" w:rsidR="001A4C35" w:rsidRDefault="001A4C35" w:rsidP="00024041">
      <w:pPr>
        <w:jc w:val="both"/>
      </w:pPr>
      <w:r>
        <w:t xml:space="preserve">Le projet est </w:t>
      </w:r>
      <w:r w:rsidR="00E334B9">
        <w:t xml:space="preserve">porté </w:t>
      </w:r>
      <w:r>
        <w:t>par la DRAREIC (Service Europe et international) et par le GIP-FTLV (porteur financier).</w:t>
      </w:r>
    </w:p>
    <w:p w14:paraId="6E452E38" w14:textId="77777777" w:rsidR="00024041" w:rsidRDefault="00024041" w:rsidP="00024041">
      <w:pPr>
        <w:jc w:val="both"/>
        <w:rPr>
          <w:b/>
          <w:bCs/>
          <w:u w:val="single"/>
        </w:rPr>
      </w:pPr>
    </w:p>
    <w:p w14:paraId="0450CAFE" w14:textId="152C3900" w:rsidR="001A4C35" w:rsidRPr="00024041" w:rsidRDefault="001A4C35" w:rsidP="00024041">
      <w:pPr>
        <w:jc w:val="both"/>
        <w:rPr>
          <w:b/>
          <w:bCs/>
          <w:u w:val="single"/>
        </w:rPr>
      </w:pPr>
      <w:r w:rsidRPr="00024041">
        <w:rPr>
          <w:b/>
          <w:bCs/>
          <w:u w:val="single"/>
        </w:rPr>
        <w:t xml:space="preserve">A qui s’adresse </w:t>
      </w:r>
      <w:r w:rsidR="00E12EA8">
        <w:rPr>
          <w:b/>
          <w:bCs/>
          <w:u w:val="single"/>
        </w:rPr>
        <w:t>MIRABEEL</w:t>
      </w:r>
      <w:r w:rsidRPr="00024041">
        <w:rPr>
          <w:b/>
          <w:bCs/>
          <w:u w:val="single"/>
        </w:rPr>
        <w:t> ?</w:t>
      </w:r>
    </w:p>
    <w:p w14:paraId="690420BE" w14:textId="20880DCE" w:rsidR="001A4C35" w:rsidRPr="00024041" w:rsidRDefault="001A4C35" w:rsidP="00024041">
      <w:pPr>
        <w:jc w:val="both"/>
      </w:pPr>
      <w:r>
        <w:t xml:space="preserve">Le projet s’adresse aux établissements </w:t>
      </w:r>
      <w:r w:rsidR="00E12EA8">
        <w:t>du 1</w:t>
      </w:r>
      <w:r w:rsidR="00E12EA8" w:rsidRPr="00E12EA8">
        <w:rPr>
          <w:vertAlign w:val="superscript"/>
        </w:rPr>
        <w:t>er</w:t>
      </w:r>
      <w:r w:rsidR="00E12EA8">
        <w:t xml:space="preserve"> et 2</w:t>
      </w:r>
      <w:r w:rsidR="00E12EA8" w:rsidRPr="00E12EA8">
        <w:rPr>
          <w:vertAlign w:val="superscript"/>
        </w:rPr>
        <w:t>nd</w:t>
      </w:r>
      <w:r w:rsidR="00E12EA8">
        <w:t xml:space="preserve"> degré de la voie générale </w:t>
      </w:r>
      <w:r>
        <w:t>l’Académie de Nancy-Metz. Ainsi sont éligibles pour bénéficier des financements le</w:t>
      </w:r>
      <w:r w:rsidR="00106B52">
        <w:t>s apprenants et les personnels de</w:t>
      </w:r>
      <w:r>
        <w:t>s</w:t>
      </w:r>
      <w:r w:rsidR="00E12EA8">
        <w:t xml:space="preserve"> écoles, collèges et lycées généraux et technologiques. </w:t>
      </w:r>
    </w:p>
    <w:p w14:paraId="1659F1F4" w14:textId="77777777" w:rsidR="00024041" w:rsidRDefault="00024041" w:rsidP="00024041">
      <w:pPr>
        <w:jc w:val="both"/>
        <w:rPr>
          <w:b/>
          <w:bCs/>
          <w:u w:val="single"/>
        </w:rPr>
      </w:pPr>
    </w:p>
    <w:p w14:paraId="7DFCFA24" w14:textId="304F38EE" w:rsidR="001A4C35" w:rsidRPr="00024041" w:rsidRDefault="001A4C35" w:rsidP="00024041">
      <w:pPr>
        <w:jc w:val="both"/>
        <w:rPr>
          <w:b/>
          <w:bCs/>
          <w:u w:val="single"/>
        </w:rPr>
      </w:pPr>
      <w:r w:rsidRPr="00024041">
        <w:rPr>
          <w:b/>
          <w:bCs/>
          <w:u w:val="single"/>
        </w:rPr>
        <w:t xml:space="preserve">Pourquoi intégrer le consortium </w:t>
      </w:r>
      <w:r w:rsidR="00E12EA8">
        <w:rPr>
          <w:b/>
          <w:bCs/>
          <w:u w:val="single"/>
        </w:rPr>
        <w:t>MIRABEEL</w:t>
      </w:r>
      <w:r w:rsidRPr="00024041">
        <w:rPr>
          <w:b/>
          <w:bCs/>
          <w:u w:val="single"/>
        </w:rPr>
        <w:t> ?</w:t>
      </w:r>
    </w:p>
    <w:p w14:paraId="539AE78D" w14:textId="037BF592" w:rsidR="001A4C35" w:rsidRDefault="001A4C35" w:rsidP="00024041">
      <w:pPr>
        <w:jc w:val="both"/>
      </w:pPr>
      <w:r>
        <w:t xml:space="preserve">Le projet finance des mobilités </w:t>
      </w:r>
      <w:r w:rsidR="00024041">
        <w:t xml:space="preserve">sortantes </w:t>
      </w:r>
      <w:r w:rsidR="00E12EA8">
        <w:t xml:space="preserve">au sein de l’U. E </w:t>
      </w:r>
      <w:bookmarkStart w:id="0" w:name="_GoBack"/>
      <w:bookmarkEnd w:id="0"/>
      <w:r w:rsidRPr="00024041">
        <w:rPr>
          <w:b/>
          <w:bCs/>
          <w:color w:val="FF0000"/>
        </w:rPr>
        <w:t>pour les élèves</w:t>
      </w:r>
      <w:r w:rsidRPr="00024041">
        <w:rPr>
          <w:b/>
          <w:bCs/>
        </w:rPr>
        <w:t xml:space="preserve"> </w:t>
      </w:r>
      <w:r>
        <w:t>(</w:t>
      </w:r>
      <w:r w:rsidR="00E334B9">
        <w:t>mobilités</w:t>
      </w:r>
      <w:r w:rsidR="00E12EA8">
        <w:t xml:space="preserve"> individuelles ou</w:t>
      </w:r>
      <w:r w:rsidR="00E334B9">
        <w:t xml:space="preserve"> collectives</w:t>
      </w:r>
      <w:r>
        <w:t xml:space="preserve">) </w:t>
      </w:r>
      <w:r w:rsidRPr="00024041">
        <w:rPr>
          <w:b/>
          <w:bCs/>
          <w:color w:val="FF0000"/>
        </w:rPr>
        <w:t>et pour tous les personnels</w:t>
      </w:r>
      <w:r w:rsidR="00CE55A7">
        <w:rPr>
          <w:b/>
          <w:bCs/>
          <w:color w:val="FF0000"/>
        </w:rPr>
        <w:t xml:space="preserve"> titulaires</w:t>
      </w:r>
      <w:r w:rsidRPr="00024041">
        <w:rPr>
          <w:color w:val="FF0000"/>
        </w:rPr>
        <w:t xml:space="preserve"> </w:t>
      </w:r>
      <w:r>
        <w:t>(stages d’observation, cours et formations</w:t>
      </w:r>
      <w:r w:rsidR="00152825">
        <w:t>, mission d’enseignement</w:t>
      </w:r>
      <w:r>
        <w:t>).</w:t>
      </w:r>
    </w:p>
    <w:p w14:paraId="0C81F404" w14:textId="102568AE" w:rsidR="001A4C35" w:rsidRDefault="001A4C35" w:rsidP="00024041">
      <w:pPr>
        <w:jc w:val="both"/>
      </w:pPr>
      <w:r>
        <w:t>Le projet finance également la mobilité entrante d’experts étrangers invités à apporter une plus-value professionnelle à l’établissement.</w:t>
      </w:r>
    </w:p>
    <w:p w14:paraId="062DA0AC" w14:textId="73E375B4" w:rsidR="00024041" w:rsidRDefault="00024041" w:rsidP="00024041">
      <w:pPr>
        <w:jc w:val="both"/>
      </w:pPr>
      <w:r>
        <w:t xml:space="preserve">Afin d’alléger le travail au sein des établissements, la DRAREIC et le GIP apportent non seulement une aide financière mais également </w:t>
      </w:r>
      <w:r w:rsidR="00E334B9">
        <w:t xml:space="preserve">un soutien </w:t>
      </w:r>
      <w:r>
        <w:t>méthodologique et administrati</w:t>
      </w:r>
      <w:r w:rsidR="00E334B9">
        <w:t>f</w:t>
      </w:r>
      <w:r>
        <w:t xml:space="preserve"> aux mobilités des élèves et des personnels.</w:t>
      </w:r>
    </w:p>
    <w:p w14:paraId="10AB25C7" w14:textId="77777777" w:rsidR="00024041" w:rsidRDefault="00024041" w:rsidP="00024041">
      <w:pPr>
        <w:jc w:val="both"/>
        <w:rPr>
          <w:b/>
          <w:bCs/>
          <w:u w:val="single"/>
        </w:rPr>
      </w:pPr>
    </w:p>
    <w:p w14:paraId="5A86547C" w14:textId="14E5989D" w:rsidR="001A4C35" w:rsidRPr="00024041" w:rsidRDefault="001A4C35" w:rsidP="00024041">
      <w:pPr>
        <w:jc w:val="both"/>
        <w:rPr>
          <w:b/>
          <w:bCs/>
          <w:u w:val="single"/>
        </w:rPr>
      </w:pPr>
      <w:r w:rsidRPr="00024041">
        <w:rPr>
          <w:b/>
          <w:bCs/>
          <w:u w:val="single"/>
        </w:rPr>
        <w:t xml:space="preserve">Comment intégrer le consortium </w:t>
      </w:r>
      <w:r w:rsidR="00E12EA8">
        <w:rPr>
          <w:b/>
          <w:bCs/>
          <w:u w:val="single"/>
        </w:rPr>
        <w:t>MIRABEEL</w:t>
      </w:r>
      <w:r w:rsidRPr="00024041">
        <w:rPr>
          <w:b/>
          <w:bCs/>
          <w:u w:val="single"/>
        </w:rPr>
        <w:t> </w:t>
      </w:r>
      <w:r w:rsidR="00152825">
        <w:rPr>
          <w:b/>
          <w:bCs/>
          <w:u w:val="single"/>
        </w:rPr>
        <w:t xml:space="preserve">en 2025-2026 </w:t>
      </w:r>
      <w:r w:rsidRPr="00024041">
        <w:rPr>
          <w:b/>
          <w:bCs/>
          <w:u w:val="single"/>
        </w:rPr>
        <w:t>?</w:t>
      </w:r>
    </w:p>
    <w:p w14:paraId="0AF8C47D" w14:textId="73AC12EF" w:rsidR="001A4C35" w:rsidRDefault="00152825" w:rsidP="00024041">
      <w:pPr>
        <w:jc w:val="both"/>
      </w:pPr>
      <w:r>
        <w:lastRenderedPageBreak/>
        <w:t>Suite à</w:t>
      </w:r>
      <w:r w:rsidR="003607F2">
        <w:t xml:space="preserve"> la</w:t>
      </w:r>
      <w:r>
        <w:t xml:space="preserve"> publication de l’</w:t>
      </w:r>
      <w:r w:rsidR="001A4C35" w:rsidRPr="00024041">
        <w:rPr>
          <w:b/>
          <w:bCs/>
          <w:color w:val="FF0000"/>
        </w:rPr>
        <w:t>appel à candidatur</w:t>
      </w:r>
      <w:r w:rsidR="00024041">
        <w:rPr>
          <w:b/>
          <w:bCs/>
          <w:color w:val="FF0000"/>
        </w:rPr>
        <w:t>es</w:t>
      </w:r>
      <w:r w:rsidR="001A4C35" w:rsidRPr="00024041">
        <w:t xml:space="preserve"> </w:t>
      </w:r>
      <w:r w:rsidR="00024041">
        <w:t xml:space="preserve">sur Partage </w:t>
      </w:r>
      <w:r w:rsidR="001A4C35">
        <w:t>par la DRAREIC</w:t>
      </w:r>
      <w:r>
        <w:t>, i</w:t>
      </w:r>
      <w:r w:rsidR="001A4C35">
        <w:t xml:space="preserve">l faut retourner le document de demande de bourses avant le </w:t>
      </w:r>
      <w:r w:rsidRPr="003607F2">
        <w:t>24</w:t>
      </w:r>
      <w:r w:rsidR="001A4C35" w:rsidRPr="003607F2">
        <w:t xml:space="preserve"> </w:t>
      </w:r>
      <w:r w:rsidRPr="003607F2">
        <w:t xml:space="preserve">janvier </w:t>
      </w:r>
      <w:r w:rsidR="001A4C35" w:rsidRPr="003607F2">
        <w:t>202</w:t>
      </w:r>
      <w:r w:rsidRPr="003607F2">
        <w:t>5</w:t>
      </w:r>
      <w:r w:rsidR="001A4C35">
        <w:t xml:space="preserve"> à </w:t>
      </w:r>
      <w:hyperlink r:id="rId7" w:history="1">
        <w:r w:rsidR="00E12EA8" w:rsidRPr="006D7E13">
          <w:rPr>
            <w:rStyle w:val="Lienhypertexte"/>
          </w:rPr>
          <w:t>mirabeel@ac-nancy-metz.fr</w:t>
        </w:r>
      </w:hyperlink>
      <w:r w:rsidR="001A4C35">
        <w:t xml:space="preserve"> </w:t>
      </w:r>
    </w:p>
    <w:p w14:paraId="1D3CB00A" w14:textId="0A70EB32" w:rsidR="001A4C35" w:rsidRPr="00024041" w:rsidRDefault="001A4C35" w:rsidP="00152825">
      <w:pPr>
        <w:jc w:val="both"/>
        <w:rPr>
          <w:i/>
          <w:iCs/>
        </w:rPr>
      </w:pPr>
      <w:r>
        <w:t xml:space="preserve">La DRAREIC reviendra ensuite vers les établissements </w:t>
      </w:r>
      <w:r w:rsidR="00E334B9">
        <w:t xml:space="preserve">intéressés </w:t>
      </w:r>
      <w:r>
        <w:t xml:space="preserve">pour les documents </w:t>
      </w:r>
      <w:r w:rsidR="00024041">
        <w:t>contractuels</w:t>
      </w:r>
      <w:r>
        <w:t xml:space="preserve"> d’intégration au consortium.</w:t>
      </w:r>
    </w:p>
    <w:sectPr w:rsidR="001A4C35" w:rsidRPr="00024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35"/>
    <w:rsid w:val="00024041"/>
    <w:rsid w:val="00106B52"/>
    <w:rsid w:val="00152825"/>
    <w:rsid w:val="001A4C35"/>
    <w:rsid w:val="003607F2"/>
    <w:rsid w:val="006A32FB"/>
    <w:rsid w:val="00CE55A7"/>
    <w:rsid w:val="00D8739D"/>
    <w:rsid w:val="00E12EA8"/>
    <w:rsid w:val="00E3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47A1"/>
  <w15:chartTrackingRefBased/>
  <w15:docId w15:val="{AF58183F-8DA3-4B1A-BCA1-09AAA4E6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4C3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A4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rabeel@ac-nancy-metz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Sarrado</dc:creator>
  <cp:keywords/>
  <dc:description/>
  <cp:lastModifiedBy>cziadi</cp:lastModifiedBy>
  <cp:revision>2</cp:revision>
  <dcterms:created xsi:type="dcterms:W3CDTF">2025-01-07T13:35:00Z</dcterms:created>
  <dcterms:modified xsi:type="dcterms:W3CDTF">2025-01-07T13:35:00Z</dcterms:modified>
</cp:coreProperties>
</file>