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7D4775" w14:textId="2E882B4E" w:rsidR="00845F38" w:rsidRDefault="00845F38" w:rsidP="00D0235F">
      <w:pPr>
        <w:shd w:val="clear" w:color="auto" w:fill="FFFFFF"/>
        <w:spacing w:after="0" w:line="240" w:lineRule="auto"/>
        <w:rPr>
          <w:rFonts w:cstheme="minorHAnsi"/>
        </w:rPr>
      </w:pPr>
      <w:r w:rsidRPr="0035438E">
        <w:rPr>
          <w:rFonts w:ascii="Marianne" w:eastAsia="Calibri" w:hAnsi="Marianne" w:cs="Times New Roman"/>
          <w:noProof/>
          <w:sz w:val="20"/>
          <w:lang w:eastAsia="fr-FR"/>
        </w:rPr>
        <w:drawing>
          <wp:inline distT="0" distB="0" distL="0" distR="0" wp14:anchorId="6CB66E3C" wp14:editId="2DAFF7BF">
            <wp:extent cx="753427" cy="1367839"/>
            <wp:effectExtent l="0" t="2540" r="6350" b="635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extLst>
                        <a:ext uri="{28A0092B-C50C-407E-A947-70E740481C1C}">
                          <a14:useLocalDpi xmlns:a14="http://schemas.microsoft.com/office/drawing/2010/main" val="0"/>
                        </a:ext>
                      </a:extLst>
                    </a:blip>
                    <a:stretch>
                      <a:fillRect/>
                    </a:stretch>
                  </pic:blipFill>
                  <pic:spPr>
                    <a:xfrm rot="16200000">
                      <a:off x="0" y="0"/>
                      <a:ext cx="767320" cy="1393061"/>
                    </a:xfrm>
                    <a:prstGeom prst="rect">
                      <a:avLst/>
                    </a:prstGeom>
                  </pic:spPr>
                </pic:pic>
              </a:graphicData>
            </a:graphic>
          </wp:inline>
        </w:drawing>
      </w:r>
      <w:r>
        <w:rPr>
          <w:rFonts w:cstheme="minorHAnsi"/>
        </w:rPr>
        <w:tab/>
      </w:r>
      <w:r>
        <w:rPr>
          <w:rFonts w:cstheme="minorHAnsi"/>
        </w:rPr>
        <w:tab/>
      </w:r>
      <w:r>
        <w:rPr>
          <w:rFonts w:cstheme="minorHAnsi"/>
        </w:rPr>
        <w:tab/>
      </w:r>
      <w:r w:rsidRPr="0035438E">
        <w:rPr>
          <w:rFonts w:ascii="Marianne" w:eastAsia="Calibri" w:hAnsi="Marianne" w:cs="Times New Roman"/>
          <w:noProof/>
          <w:sz w:val="20"/>
          <w:lang w:eastAsia="fr-FR"/>
        </w:rPr>
        <w:drawing>
          <wp:inline distT="0" distB="0" distL="0" distR="0" wp14:anchorId="1C3EDDB9" wp14:editId="32CCD2FB">
            <wp:extent cx="2409139" cy="504825"/>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21166" cy="528300"/>
                    </a:xfrm>
                    <a:prstGeom prst="rect">
                      <a:avLst/>
                    </a:prstGeom>
                  </pic:spPr>
                </pic:pic>
              </a:graphicData>
            </a:graphic>
          </wp:inline>
        </w:drawing>
      </w:r>
      <w:r>
        <w:rPr>
          <w:rFonts w:cstheme="minorHAnsi"/>
        </w:rPr>
        <w:tab/>
      </w:r>
      <w:r>
        <w:rPr>
          <w:rFonts w:cstheme="minorHAnsi"/>
        </w:rPr>
        <w:tab/>
      </w:r>
      <w:r w:rsidRPr="0035438E">
        <w:rPr>
          <w:rFonts w:ascii="Marianne" w:eastAsia="Calibri" w:hAnsi="Marianne" w:cs="Times New Roman"/>
          <w:noProof/>
          <w:sz w:val="20"/>
          <w:lang w:eastAsia="fr-FR"/>
        </w:rPr>
        <w:drawing>
          <wp:inline distT="0" distB="0" distL="0" distR="0" wp14:anchorId="5902DE4C" wp14:editId="5E16DF7A">
            <wp:extent cx="2657475" cy="721896"/>
            <wp:effectExtent l="0" t="0" r="0" b="254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33354" cy="742508"/>
                    </a:xfrm>
                    <a:prstGeom prst="rect">
                      <a:avLst/>
                    </a:prstGeom>
                  </pic:spPr>
                </pic:pic>
              </a:graphicData>
            </a:graphic>
          </wp:inline>
        </w:drawing>
      </w:r>
    </w:p>
    <w:p w14:paraId="6D1F1833" w14:textId="5CF03B29" w:rsidR="00845F38" w:rsidRDefault="00845F38" w:rsidP="00D0235F">
      <w:pPr>
        <w:shd w:val="clear" w:color="auto" w:fill="FFFFFF"/>
        <w:spacing w:after="0" w:line="240" w:lineRule="auto"/>
        <w:rPr>
          <w:rFonts w:cstheme="minorHAnsi"/>
        </w:rPr>
      </w:pPr>
    </w:p>
    <w:p w14:paraId="4A2C324E" w14:textId="624F202D" w:rsidR="00845F38" w:rsidRPr="00845F38" w:rsidRDefault="00845F38" w:rsidP="00845F38">
      <w:pPr>
        <w:pBdr>
          <w:top w:val="single" w:sz="4" w:space="1" w:color="auto"/>
          <w:left w:val="single" w:sz="4" w:space="4" w:color="auto"/>
          <w:bottom w:val="single" w:sz="4" w:space="1" w:color="auto"/>
          <w:right w:val="single" w:sz="4" w:space="4" w:color="auto"/>
        </w:pBdr>
        <w:jc w:val="center"/>
        <w:rPr>
          <w:b/>
          <w:sz w:val="24"/>
        </w:rPr>
      </w:pPr>
      <w:r>
        <w:rPr>
          <w:b/>
          <w:sz w:val="24"/>
        </w:rPr>
        <w:t>MIRABEEL</w:t>
      </w:r>
      <w:r w:rsidRPr="005974E3">
        <w:rPr>
          <w:b/>
          <w:sz w:val="24"/>
        </w:rPr>
        <w:t xml:space="preserve"> </w:t>
      </w:r>
      <w:r>
        <w:rPr>
          <w:b/>
          <w:sz w:val="24"/>
        </w:rPr>
        <w:t>25-26</w:t>
      </w:r>
      <w:r>
        <w:rPr>
          <w:b/>
          <w:sz w:val="24"/>
        </w:rPr>
        <w:t xml:space="preserve"> - </w:t>
      </w:r>
      <w:r>
        <w:rPr>
          <w:b/>
          <w:sz w:val="24"/>
        </w:rPr>
        <w:t>DESCRIPT</w:t>
      </w:r>
      <w:r w:rsidRPr="005974E3">
        <w:rPr>
          <w:b/>
          <w:sz w:val="24"/>
        </w:rPr>
        <w:t>IF DES ACTIVITÉS</w:t>
      </w:r>
      <w:r>
        <w:rPr>
          <w:b/>
          <w:sz w:val="24"/>
        </w:rPr>
        <w:t xml:space="preserve"> </w:t>
      </w:r>
      <w:r>
        <w:rPr>
          <w:b/>
          <w:sz w:val="24"/>
        </w:rPr>
        <w:t>FINANCÉES</w:t>
      </w:r>
    </w:p>
    <w:p w14:paraId="6F5FDF47" w14:textId="72AF2F49" w:rsidR="00D0235F" w:rsidRDefault="00D0235F" w:rsidP="00D0235F">
      <w:pPr>
        <w:shd w:val="clear" w:color="auto" w:fill="FFFFFF"/>
        <w:spacing w:after="0" w:line="240" w:lineRule="auto"/>
        <w:rPr>
          <w:rFonts w:eastAsia="Times New Roman" w:cstheme="minorHAnsi"/>
          <w:lang w:eastAsia="fr-FR"/>
        </w:rPr>
      </w:pPr>
      <w:r w:rsidRPr="00785A30">
        <w:rPr>
          <w:rFonts w:cstheme="minorHAnsi"/>
        </w:rPr>
        <w:t xml:space="preserve">NB : les pays participants au programme Erasmus+ sont les 27 pays de l’UE + </w:t>
      </w:r>
      <w:r w:rsidRPr="00785A30">
        <w:rPr>
          <w:rFonts w:eastAsia="Times New Roman" w:cstheme="minorHAnsi"/>
          <w:lang w:eastAsia="fr-FR"/>
        </w:rPr>
        <w:t>Islande, Liechtenstein, Norvège, Tu</w:t>
      </w:r>
      <w:r>
        <w:rPr>
          <w:rFonts w:eastAsia="Times New Roman" w:cstheme="minorHAnsi"/>
          <w:lang w:eastAsia="fr-FR"/>
        </w:rPr>
        <w:t>rquie, Macédoine du Nord, Serbie</w:t>
      </w:r>
    </w:p>
    <w:p w14:paraId="236A2010" w14:textId="77777777" w:rsidR="00D0235F" w:rsidRPr="00D0235F" w:rsidRDefault="00D0235F" w:rsidP="00D0235F">
      <w:pPr>
        <w:shd w:val="clear" w:color="auto" w:fill="FFFFFF"/>
        <w:spacing w:after="0" w:line="240" w:lineRule="auto"/>
        <w:rPr>
          <w:rFonts w:eastAsia="Times New Roman" w:cstheme="minorHAnsi"/>
          <w:lang w:eastAsia="fr-FR"/>
        </w:rPr>
      </w:pPr>
    </w:p>
    <w:tbl>
      <w:tblPr>
        <w:tblStyle w:val="Grilledutableau"/>
        <w:tblW w:w="0" w:type="auto"/>
        <w:tblLook w:val="04A0" w:firstRow="1" w:lastRow="0" w:firstColumn="1" w:lastColumn="0" w:noHBand="0" w:noVBand="1"/>
      </w:tblPr>
      <w:tblGrid>
        <w:gridCol w:w="1980"/>
        <w:gridCol w:w="12014"/>
      </w:tblGrid>
      <w:tr w:rsidR="00030C71" w14:paraId="76AA16DF" w14:textId="77777777" w:rsidTr="00030C71">
        <w:tc>
          <w:tcPr>
            <w:tcW w:w="13994" w:type="dxa"/>
            <w:gridSpan w:val="2"/>
            <w:tcBorders>
              <w:bottom w:val="single" w:sz="4" w:space="0" w:color="auto"/>
            </w:tcBorders>
            <w:shd w:val="clear" w:color="auto" w:fill="FFC000" w:themeFill="accent4"/>
          </w:tcPr>
          <w:p w14:paraId="0C140254" w14:textId="0948FBC3" w:rsidR="00030C71" w:rsidRPr="005974E3" w:rsidRDefault="00030C71" w:rsidP="005974E3">
            <w:pPr>
              <w:jc w:val="center"/>
              <w:rPr>
                <w:b/>
                <w:sz w:val="24"/>
              </w:rPr>
            </w:pPr>
            <w:r>
              <w:rPr>
                <w:b/>
                <w:sz w:val="24"/>
              </w:rPr>
              <w:t>Catégorie A : MOBILITÉ SORTANTE DES APPRENANTS</w:t>
            </w:r>
          </w:p>
        </w:tc>
      </w:tr>
      <w:tr w:rsidR="00C2609A" w14:paraId="757A2E8D" w14:textId="77777777" w:rsidTr="00030C71">
        <w:tc>
          <w:tcPr>
            <w:tcW w:w="13994" w:type="dxa"/>
            <w:gridSpan w:val="2"/>
            <w:tcBorders>
              <w:top w:val="single" w:sz="4" w:space="0" w:color="auto"/>
              <w:left w:val="nil"/>
              <w:bottom w:val="single" w:sz="4" w:space="0" w:color="auto"/>
              <w:right w:val="nil"/>
            </w:tcBorders>
            <w:shd w:val="clear" w:color="auto" w:fill="auto"/>
          </w:tcPr>
          <w:p w14:paraId="6ADB2DD5" w14:textId="77777777" w:rsidR="00C2609A" w:rsidRPr="005974E3" w:rsidRDefault="00C2609A" w:rsidP="005974E3">
            <w:pPr>
              <w:jc w:val="center"/>
              <w:rPr>
                <w:b/>
                <w:sz w:val="24"/>
              </w:rPr>
            </w:pPr>
          </w:p>
        </w:tc>
      </w:tr>
      <w:tr w:rsidR="00A90D43" w14:paraId="70639124" w14:textId="77777777" w:rsidTr="005974E3">
        <w:tc>
          <w:tcPr>
            <w:tcW w:w="13994" w:type="dxa"/>
            <w:gridSpan w:val="2"/>
            <w:shd w:val="clear" w:color="auto" w:fill="FFC000" w:themeFill="accent4"/>
          </w:tcPr>
          <w:p w14:paraId="0CCB5AB5" w14:textId="6704470E" w:rsidR="00A90D43" w:rsidRPr="005974E3" w:rsidRDefault="00030C71" w:rsidP="00030C71">
            <w:pPr>
              <w:rPr>
                <w:b/>
                <w:sz w:val="24"/>
              </w:rPr>
            </w:pPr>
            <w:r>
              <w:rPr>
                <w:b/>
                <w:sz w:val="24"/>
              </w:rPr>
              <w:t xml:space="preserve">A01 : </w:t>
            </w:r>
            <w:r w:rsidR="00D0235F">
              <w:rPr>
                <w:b/>
                <w:sz w:val="24"/>
              </w:rPr>
              <w:t>Mobilité collective d’élèves</w:t>
            </w:r>
          </w:p>
        </w:tc>
      </w:tr>
      <w:tr w:rsidR="00D0235F" w14:paraId="453AFE6D" w14:textId="77777777" w:rsidTr="000E1419">
        <w:tc>
          <w:tcPr>
            <w:tcW w:w="1980" w:type="dxa"/>
          </w:tcPr>
          <w:p w14:paraId="36C4058B" w14:textId="77777777" w:rsidR="00D0235F" w:rsidRPr="000F255B" w:rsidRDefault="00D0235F" w:rsidP="00D0235F">
            <w:pPr>
              <w:rPr>
                <w:b/>
              </w:rPr>
            </w:pPr>
            <w:r w:rsidRPr="000F255B">
              <w:rPr>
                <w:b/>
              </w:rPr>
              <w:t>Public</w:t>
            </w:r>
          </w:p>
        </w:tc>
        <w:tc>
          <w:tcPr>
            <w:tcW w:w="12014" w:type="dxa"/>
          </w:tcPr>
          <w:p w14:paraId="683E9DDC" w14:textId="1CB3A3D5" w:rsidR="00D0235F" w:rsidRDefault="00D0235F" w:rsidP="00991569">
            <w:pPr>
              <w:jc w:val="both"/>
            </w:pPr>
            <w:r>
              <w:t xml:space="preserve">Elèves du premier degré ; élèves du second degré des filières </w:t>
            </w:r>
            <w:r w:rsidRPr="00991569">
              <w:t xml:space="preserve">générales </w:t>
            </w:r>
          </w:p>
        </w:tc>
      </w:tr>
      <w:tr w:rsidR="00BB0843" w14:paraId="02A08F4C" w14:textId="77777777" w:rsidTr="000E1419">
        <w:tc>
          <w:tcPr>
            <w:tcW w:w="1980" w:type="dxa"/>
          </w:tcPr>
          <w:p w14:paraId="033F7EF5" w14:textId="77777777" w:rsidR="00BB0843" w:rsidRPr="000F255B" w:rsidRDefault="00BB0843" w:rsidP="00BB0843">
            <w:pPr>
              <w:rPr>
                <w:b/>
              </w:rPr>
            </w:pPr>
            <w:r w:rsidRPr="000F255B">
              <w:rPr>
                <w:b/>
              </w:rPr>
              <w:t>Durée</w:t>
            </w:r>
          </w:p>
        </w:tc>
        <w:tc>
          <w:tcPr>
            <w:tcW w:w="12014" w:type="dxa"/>
          </w:tcPr>
          <w:p w14:paraId="2855E78B" w14:textId="4F613221" w:rsidR="00BB0843" w:rsidRPr="00D0235F" w:rsidRDefault="00BB0843" w:rsidP="00BB0843">
            <w:pPr>
              <w:jc w:val="both"/>
              <w:rPr>
                <w:highlight w:val="yellow"/>
              </w:rPr>
            </w:pPr>
            <w:r w:rsidRPr="000E1419">
              <w:t>De 2 à 5 jours</w:t>
            </w:r>
            <w:r>
              <w:t xml:space="preserve"> d’activité</w:t>
            </w:r>
            <w:r w:rsidRPr="000E1419">
              <w:t xml:space="preserve"> +2</w:t>
            </w:r>
            <w:r>
              <w:t xml:space="preserve"> jours</w:t>
            </w:r>
            <w:r w:rsidRPr="000E1419">
              <w:t xml:space="preserve"> de voyage</w:t>
            </w:r>
          </w:p>
        </w:tc>
      </w:tr>
      <w:tr w:rsidR="00BB0843" w14:paraId="0B0B861E" w14:textId="77777777" w:rsidTr="000E1419">
        <w:tc>
          <w:tcPr>
            <w:tcW w:w="1980" w:type="dxa"/>
          </w:tcPr>
          <w:p w14:paraId="64A61B3E" w14:textId="0D94E37E" w:rsidR="00BB0843" w:rsidRPr="000F255B" w:rsidRDefault="00BB0843" w:rsidP="00BB0843">
            <w:pPr>
              <w:rPr>
                <w:b/>
              </w:rPr>
            </w:pPr>
            <w:r w:rsidRPr="000F255B">
              <w:rPr>
                <w:b/>
              </w:rPr>
              <w:t>Destination</w:t>
            </w:r>
            <w:r>
              <w:rPr>
                <w:b/>
              </w:rPr>
              <w:t>s</w:t>
            </w:r>
          </w:p>
        </w:tc>
        <w:tc>
          <w:tcPr>
            <w:tcW w:w="12014" w:type="dxa"/>
          </w:tcPr>
          <w:p w14:paraId="5370020D" w14:textId="78987AAF" w:rsidR="00BB0843" w:rsidRDefault="00BB0843" w:rsidP="00BB0843">
            <w:pPr>
              <w:jc w:val="both"/>
            </w:pPr>
            <w:r>
              <w:t xml:space="preserve">Pays du programme Erasmus+ </w:t>
            </w:r>
          </w:p>
        </w:tc>
      </w:tr>
      <w:tr w:rsidR="00BB0843" w14:paraId="236D7B33" w14:textId="77777777" w:rsidTr="000E1419">
        <w:tc>
          <w:tcPr>
            <w:tcW w:w="1980" w:type="dxa"/>
          </w:tcPr>
          <w:p w14:paraId="5424D4C2" w14:textId="77777777" w:rsidR="00BB0843" w:rsidRPr="000F255B" w:rsidRDefault="00BB0843" w:rsidP="00BB0843">
            <w:pPr>
              <w:rPr>
                <w:b/>
              </w:rPr>
            </w:pPr>
            <w:r w:rsidRPr="000F255B">
              <w:rPr>
                <w:b/>
              </w:rPr>
              <w:t>Objectifs</w:t>
            </w:r>
          </w:p>
        </w:tc>
        <w:tc>
          <w:tcPr>
            <w:tcW w:w="12014" w:type="dxa"/>
          </w:tcPr>
          <w:p w14:paraId="12E9854D" w14:textId="5DF5C0B6" w:rsidR="00BB0843" w:rsidRDefault="00BB0843" w:rsidP="00BB0843">
            <w:pPr>
              <w:jc w:val="both"/>
            </w:pPr>
            <w:r w:rsidRPr="00D56DC5">
              <w:t xml:space="preserve">Mobilités collectives sur une </w:t>
            </w:r>
            <w:r w:rsidR="00651389">
              <w:t>des thématiques suivantes : EDD, climat scolair</w:t>
            </w:r>
            <w:r w:rsidR="00E97BD4">
              <w:t>e, inclusion, numérique</w:t>
            </w:r>
            <w:r w:rsidRPr="00D56DC5">
              <w:t xml:space="preserve"> </w:t>
            </w:r>
          </w:p>
          <w:p w14:paraId="1FD5B37A" w14:textId="77777777" w:rsidR="00BB0843" w:rsidRPr="00D56DC5" w:rsidRDefault="00BB0843" w:rsidP="00BB0843">
            <w:pPr>
              <w:jc w:val="both"/>
            </w:pPr>
          </w:p>
          <w:p w14:paraId="547085FB" w14:textId="2AFF2EA5" w:rsidR="00BB0843" w:rsidRPr="00BB0843" w:rsidRDefault="00BB0843" w:rsidP="00BB0843">
            <w:pPr>
              <w:jc w:val="both"/>
              <w:rPr>
                <w:i/>
              </w:rPr>
            </w:pPr>
            <w:r w:rsidRPr="00BB0843">
              <w:rPr>
                <w:i/>
              </w:rPr>
              <w:t>Guide Erasmus+ : « </w:t>
            </w:r>
            <w:r w:rsidR="00E97BD4" w:rsidRPr="00E97BD4">
              <w:rPr>
                <w:i/>
                <w:iCs/>
              </w:rPr>
              <w:t>un groupe d’élèves de l’établissement scolaire d’envoi peut participer à un séjour d’apprentissage collectif avec d’autres élèves dans un autre pays. L’établissement scolaire d’envoi doit concevoir et mettre en œuvre les activités d’apprentissage en coopération avec un établissement partenaire dans le pays d’accueil. Des enseignants ou d’autres membres du personnel de l’éducation qualifiés issus de l’établissement d’envoi doivent accompagner les élèves pendant toute la durée de l’activité et orienter leur processus d’apprentissage. Si nécessaire, d’autres adultes peuvent également agir en tant qu’accompagnateurs pour aider les enseignants accompagnateurs</w:t>
            </w:r>
            <w:proofErr w:type="gramStart"/>
            <w:r w:rsidR="00E97BD4">
              <w:rPr>
                <w:i/>
                <w:iCs/>
              </w:rPr>
              <w:t>.</w:t>
            </w:r>
            <w:r w:rsidRPr="00BB0843">
              <w:rPr>
                <w:i/>
              </w:rPr>
              <w:t>»</w:t>
            </w:r>
            <w:proofErr w:type="gramEnd"/>
          </w:p>
          <w:p w14:paraId="60460371" w14:textId="0657FDFB" w:rsidR="00BB0843" w:rsidRDefault="00BB0843" w:rsidP="00BB0843">
            <w:pPr>
              <w:jc w:val="both"/>
            </w:pPr>
          </w:p>
          <w:p w14:paraId="26688E5F" w14:textId="65249052" w:rsidR="00BB0843" w:rsidRPr="000E1419" w:rsidRDefault="00BB0843" w:rsidP="00BB0843">
            <w:pPr>
              <w:jc w:val="both"/>
            </w:pPr>
            <w:r w:rsidRPr="000E1419">
              <w:t xml:space="preserve">Orientations </w:t>
            </w:r>
            <w:r>
              <w:t>MIRABEEL</w:t>
            </w:r>
            <w:r w:rsidRPr="000E1419">
              <w:t> :</w:t>
            </w:r>
          </w:p>
          <w:p w14:paraId="697ABCD1" w14:textId="77777777" w:rsidR="00BB0843" w:rsidRDefault="00BB0843" w:rsidP="00BB0843">
            <w:pPr>
              <w:numPr>
                <w:ilvl w:val="0"/>
                <w:numId w:val="4"/>
              </w:numPr>
              <w:contextualSpacing/>
              <w:jc w:val="both"/>
            </w:pPr>
            <w:r w:rsidRPr="000E1419">
              <w:rPr>
                <w:color w:val="FF0000"/>
              </w:rPr>
              <w:t xml:space="preserve">L’activité de mobilité de groupe n’a pas vocation à financer des voyages scolaires ou culturels </w:t>
            </w:r>
            <w:r w:rsidRPr="000E1419">
              <w:t>(marché de Noël, visite de musée, rencontre sportive…).</w:t>
            </w:r>
          </w:p>
          <w:p w14:paraId="24030898" w14:textId="1C7E4F0A" w:rsidR="00BB0843" w:rsidRPr="00D56DC5" w:rsidRDefault="00BB0843" w:rsidP="00BB0843">
            <w:pPr>
              <w:numPr>
                <w:ilvl w:val="0"/>
                <w:numId w:val="4"/>
              </w:numPr>
              <w:contextualSpacing/>
              <w:jc w:val="both"/>
            </w:pPr>
            <w:r w:rsidRPr="000E1419">
              <w:t>Les mobilités de groupe sont exclusivement réservées à la réalisation de projets dûment explicités, construits avec le partenaire d’accueil et portant sur le climat scolaire</w:t>
            </w:r>
            <w:r>
              <w:t>, le développement durable</w:t>
            </w:r>
            <w:r w:rsidR="00E97BD4">
              <w:t xml:space="preserve">, l’inclusion </w:t>
            </w:r>
            <w:r w:rsidR="00B62D89">
              <w:t>ou</w:t>
            </w:r>
            <w:r w:rsidR="00E97BD4">
              <w:t xml:space="preserve"> le numérique </w:t>
            </w:r>
            <w:r w:rsidR="00E97BD4" w:rsidRPr="000E1419">
              <w:t xml:space="preserve">(délégués du </w:t>
            </w:r>
            <w:r w:rsidR="00E97BD4" w:rsidRPr="000E1419">
              <w:lastRenderedPageBreak/>
              <w:t>CVL</w:t>
            </w:r>
            <w:r w:rsidR="00E97BD4">
              <w:t xml:space="preserve">, éco-délégués, ambassadeurs </w:t>
            </w:r>
            <w:proofErr w:type="spellStart"/>
            <w:r w:rsidR="00E97BD4">
              <w:t>pHARe</w:t>
            </w:r>
            <w:proofErr w:type="spellEnd"/>
            <w:r w:rsidR="00B62D89">
              <w:t>, ambassadeurs du numérique</w:t>
            </w:r>
            <w:r w:rsidR="00E97BD4">
              <w:t xml:space="preserve"> </w:t>
            </w:r>
            <w:r w:rsidR="00E97BD4" w:rsidRPr="000E1419">
              <w:t>par exem</w:t>
            </w:r>
            <w:r w:rsidR="00E97BD4">
              <w:t>ple</w:t>
            </w:r>
            <w:r w:rsidR="00B62D89">
              <w:t>)</w:t>
            </w:r>
            <w:r w:rsidR="00860C17">
              <w:t xml:space="preserve">. Les mobilités de groupe ne concernent donc pas nécessairement une classe entière.  </w:t>
            </w:r>
          </w:p>
        </w:tc>
      </w:tr>
      <w:tr w:rsidR="00BB0843" w14:paraId="3FB68233" w14:textId="77777777" w:rsidTr="000E1419">
        <w:tc>
          <w:tcPr>
            <w:tcW w:w="1980" w:type="dxa"/>
          </w:tcPr>
          <w:p w14:paraId="3A1C0E0C" w14:textId="77777777" w:rsidR="00BB0843" w:rsidRPr="000F255B" w:rsidRDefault="00BB0843" w:rsidP="00BB0843">
            <w:pPr>
              <w:rPr>
                <w:b/>
              </w:rPr>
            </w:pPr>
            <w:r w:rsidRPr="000F255B">
              <w:rPr>
                <w:b/>
              </w:rPr>
              <w:lastRenderedPageBreak/>
              <w:t>Financement</w:t>
            </w:r>
          </w:p>
        </w:tc>
        <w:tc>
          <w:tcPr>
            <w:tcW w:w="12014" w:type="dxa"/>
          </w:tcPr>
          <w:p w14:paraId="660A99AD" w14:textId="3D0801F1" w:rsidR="00BB0843" w:rsidRDefault="00BB0843" w:rsidP="00BB0843">
            <w:r>
              <w:t>Voyage + séjour (élèves et accompagnateurs sur la durée du séjour)</w:t>
            </w:r>
          </w:p>
        </w:tc>
      </w:tr>
    </w:tbl>
    <w:p w14:paraId="3F6415DD" w14:textId="56B4E414" w:rsidR="005974E3" w:rsidRDefault="005974E3"/>
    <w:p w14:paraId="749EA5FC" w14:textId="77777777" w:rsidR="00BC281A" w:rsidRDefault="00BC281A"/>
    <w:tbl>
      <w:tblPr>
        <w:tblStyle w:val="Grilledutableau"/>
        <w:tblW w:w="0" w:type="auto"/>
        <w:tblLook w:val="04A0" w:firstRow="1" w:lastRow="0" w:firstColumn="1" w:lastColumn="0" w:noHBand="0" w:noVBand="1"/>
      </w:tblPr>
      <w:tblGrid>
        <w:gridCol w:w="1980"/>
        <w:gridCol w:w="12014"/>
      </w:tblGrid>
      <w:tr w:rsidR="005974E3" w14:paraId="05F09F37" w14:textId="77777777" w:rsidTr="005974E3">
        <w:tc>
          <w:tcPr>
            <w:tcW w:w="13994" w:type="dxa"/>
            <w:gridSpan w:val="2"/>
            <w:shd w:val="clear" w:color="auto" w:fill="FFC000" w:themeFill="accent4"/>
          </w:tcPr>
          <w:p w14:paraId="113DABB3" w14:textId="19969F9F" w:rsidR="005974E3" w:rsidRPr="005974E3" w:rsidRDefault="00D0235F" w:rsidP="00030C71">
            <w:pPr>
              <w:rPr>
                <w:b/>
                <w:sz w:val="24"/>
              </w:rPr>
            </w:pPr>
            <w:r>
              <w:rPr>
                <w:b/>
                <w:sz w:val="24"/>
              </w:rPr>
              <w:t>A02 : Mobilité individuelle d’élèves</w:t>
            </w:r>
          </w:p>
        </w:tc>
      </w:tr>
      <w:tr w:rsidR="00D0235F" w14:paraId="283E88F7" w14:textId="77777777" w:rsidTr="000E1419">
        <w:tc>
          <w:tcPr>
            <w:tcW w:w="1980" w:type="dxa"/>
          </w:tcPr>
          <w:p w14:paraId="7B18A265" w14:textId="77777777" w:rsidR="00D0235F" w:rsidRPr="000F255B" w:rsidRDefault="00D0235F" w:rsidP="00D0235F">
            <w:pPr>
              <w:rPr>
                <w:b/>
              </w:rPr>
            </w:pPr>
            <w:r w:rsidRPr="000F255B">
              <w:rPr>
                <w:b/>
              </w:rPr>
              <w:t>Public</w:t>
            </w:r>
          </w:p>
        </w:tc>
        <w:tc>
          <w:tcPr>
            <w:tcW w:w="12014" w:type="dxa"/>
          </w:tcPr>
          <w:p w14:paraId="5575EE29" w14:textId="5E71308B" w:rsidR="00D0235F" w:rsidRDefault="00D0235F" w:rsidP="00991569">
            <w:pPr>
              <w:jc w:val="both"/>
            </w:pPr>
            <w:r>
              <w:t xml:space="preserve">Elèves du second degré </w:t>
            </w:r>
            <w:r w:rsidR="00991569">
              <w:t>des filières générales</w:t>
            </w:r>
          </w:p>
        </w:tc>
      </w:tr>
      <w:tr w:rsidR="00D0235F" w14:paraId="6C08FA05" w14:textId="77777777" w:rsidTr="000E1419">
        <w:tc>
          <w:tcPr>
            <w:tcW w:w="1980" w:type="dxa"/>
          </w:tcPr>
          <w:p w14:paraId="02193F0E" w14:textId="77777777" w:rsidR="00D0235F" w:rsidRPr="000F255B" w:rsidRDefault="00D0235F" w:rsidP="00D0235F">
            <w:pPr>
              <w:rPr>
                <w:b/>
              </w:rPr>
            </w:pPr>
            <w:r w:rsidRPr="000F255B">
              <w:rPr>
                <w:b/>
              </w:rPr>
              <w:t>Durée</w:t>
            </w:r>
          </w:p>
        </w:tc>
        <w:tc>
          <w:tcPr>
            <w:tcW w:w="12014" w:type="dxa"/>
          </w:tcPr>
          <w:p w14:paraId="1D94AEF7" w14:textId="4FC89764" w:rsidR="00D0235F" w:rsidRDefault="009B2D88" w:rsidP="00D0235F">
            <w:pPr>
              <w:jc w:val="both"/>
            </w:pPr>
            <w:r>
              <w:t xml:space="preserve">2 à </w:t>
            </w:r>
            <w:r w:rsidR="00D0235F">
              <w:t>4 semaines</w:t>
            </w:r>
            <w:r>
              <w:t xml:space="preserve"> selon le programme</w:t>
            </w:r>
          </w:p>
        </w:tc>
      </w:tr>
      <w:tr w:rsidR="00D0235F" w14:paraId="5CC4D4BE" w14:textId="77777777" w:rsidTr="000E1419">
        <w:tc>
          <w:tcPr>
            <w:tcW w:w="1980" w:type="dxa"/>
          </w:tcPr>
          <w:p w14:paraId="2F6C7CD1" w14:textId="0477877F" w:rsidR="00D0235F" w:rsidRPr="000F255B" w:rsidRDefault="00D0235F" w:rsidP="00D0235F">
            <w:pPr>
              <w:rPr>
                <w:b/>
              </w:rPr>
            </w:pPr>
            <w:r w:rsidRPr="000F255B">
              <w:rPr>
                <w:b/>
              </w:rPr>
              <w:t>Destination</w:t>
            </w:r>
            <w:r>
              <w:rPr>
                <w:b/>
              </w:rPr>
              <w:t>s</w:t>
            </w:r>
          </w:p>
        </w:tc>
        <w:tc>
          <w:tcPr>
            <w:tcW w:w="12014" w:type="dxa"/>
          </w:tcPr>
          <w:p w14:paraId="4C2B9AAE" w14:textId="77777777" w:rsidR="00D0235F" w:rsidRDefault="00D0235F" w:rsidP="00D0235F">
            <w:pPr>
              <w:jc w:val="both"/>
            </w:pPr>
            <w:r>
              <w:t>Pays concernés par les programmes d’échanges académiques gérés par la DRAREIC</w:t>
            </w:r>
          </w:p>
          <w:p w14:paraId="6FFD2016" w14:textId="7D1B3C4C" w:rsidR="00991569" w:rsidRDefault="00991569" w:rsidP="00D0235F">
            <w:pPr>
              <w:jc w:val="both"/>
            </w:pPr>
            <w:r>
              <w:t>Italie (</w:t>
            </w:r>
            <w:proofErr w:type="spellStart"/>
            <w:r>
              <w:t>Trans’Alp</w:t>
            </w:r>
            <w:proofErr w:type="spellEnd"/>
            <w:r>
              <w:t>), Espagne (</w:t>
            </w:r>
            <w:proofErr w:type="spellStart"/>
            <w:r>
              <w:t>PicassoMob</w:t>
            </w:r>
            <w:proofErr w:type="spellEnd"/>
            <w:r>
              <w:t>), Autriche (Klimt)</w:t>
            </w:r>
            <w:r w:rsidR="00BC281A">
              <w:t>.</w:t>
            </w:r>
          </w:p>
        </w:tc>
      </w:tr>
      <w:tr w:rsidR="00D0235F" w14:paraId="5801ACE4" w14:textId="77777777" w:rsidTr="000E1419">
        <w:tc>
          <w:tcPr>
            <w:tcW w:w="1980" w:type="dxa"/>
            <w:tcBorders>
              <w:bottom w:val="single" w:sz="4" w:space="0" w:color="auto"/>
            </w:tcBorders>
          </w:tcPr>
          <w:p w14:paraId="06225478" w14:textId="77777777" w:rsidR="00D0235F" w:rsidRPr="000F255B" w:rsidRDefault="00D0235F" w:rsidP="00D0235F">
            <w:pPr>
              <w:rPr>
                <w:b/>
              </w:rPr>
            </w:pPr>
            <w:r w:rsidRPr="000F255B">
              <w:rPr>
                <w:b/>
              </w:rPr>
              <w:t>Objectifs</w:t>
            </w:r>
          </w:p>
        </w:tc>
        <w:tc>
          <w:tcPr>
            <w:tcW w:w="12014" w:type="dxa"/>
            <w:tcBorders>
              <w:bottom w:val="single" w:sz="4" w:space="0" w:color="auto"/>
            </w:tcBorders>
          </w:tcPr>
          <w:p w14:paraId="1825D18D" w14:textId="18CC91B2" w:rsidR="00D0235F" w:rsidRPr="00D56DC5" w:rsidRDefault="00D0235F" w:rsidP="00D0235F">
            <w:pPr>
              <w:jc w:val="both"/>
            </w:pPr>
            <w:r w:rsidRPr="00D56DC5">
              <w:t>Echange avec réciprocité</w:t>
            </w:r>
          </w:p>
          <w:p w14:paraId="7AFE2A6F" w14:textId="2421B50F" w:rsidR="00991569" w:rsidRPr="00C010F3" w:rsidRDefault="00D56DC5" w:rsidP="00D56DC5">
            <w:pPr>
              <w:pStyle w:val="Default"/>
              <w:jc w:val="both"/>
              <w:rPr>
                <w:i/>
                <w:sz w:val="22"/>
                <w:szCs w:val="22"/>
              </w:rPr>
            </w:pPr>
            <w:r w:rsidRPr="00BC281A">
              <w:rPr>
                <w:i/>
                <w:sz w:val="22"/>
                <w:szCs w:val="22"/>
              </w:rPr>
              <w:t>Guide Erasmus + </w:t>
            </w:r>
            <w:r w:rsidRPr="00C010F3">
              <w:rPr>
                <w:i/>
                <w:sz w:val="22"/>
                <w:szCs w:val="22"/>
              </w:rPr>
              <w:t>: « </w:t>
            </w:r>
            <w:r w:rsidR="00C010F3">
              <w:rPr>
                <w:i/>
                <w:sz w:val="22"/>
                <w:szCs w:val="22"/>
              </w:rPr>
              <w:t>L</w:t>
            </w:r>
            <w:r w:rsidR="00C010F3" w:rsidRPr="00C010F3">
              <w:rPr>
                <w:i/>
              </w:rPr>
              <w:t>es élèves peuvent effectuer un séjour à l’étranger pour suivre des cours dans un établissement scolaire partenaire. Un programme d’apprentissage individuel doit être défini pour chaque participant</w:t>
            </w:r>
            <w:proofErr w:type="gramStart"/>
            <w:r w:rsidR="00C010F3" w:rsidRPr="00C010F3">
              <w:rPr>
                <w:i/>
              </w:rPr>
              <w:t>.</w:t>
            </w:r>
            <w:r w:rsidRPr="00C010F3">
              <w:rPr>
                <w:i/>
                <w:sz w:val="22"/>
                <w:szCs w:val="22"/>
              </w:rPr>
              <w:t>»</w:t>
            </w:r>
            <w:proofErr w:type="gramEnd"/>
            <w:r w:rsidRPr="00C010F3">
              <w:rPr>
                <w:i/>
                <w:sz w:val="22"/>
                <w:szCs w:val="22"/>
              </w:rPr>
              <w:t xml:space="preserve"> </w:t>
            </w:r>
          </w:p>
          <w:p w14:paraId="6E0F3218" w14:textId="0878AA31" w:rsidR="00991569" w:rsidRPr="00D56DC5" w:rsidRDefault="00991569" w:rsidP="00D0235F">
            <w:pPr>
              <w:jc w:val="both"/>
              <w:rPr>
                <w:i/>
                <w:iCs/>
              </w:rPr>
            </w:pPr>
          </w:p>
        </w:tc>
      </w:tr>
      <w:tr w:rsidR="00D0235F" w14:paraId="6BBABA5D" w14:textId="77777777" w:rsidTr="000E1419">
        <w:tc>
          <w:tcPr>
            <w:tcW w:w="1980" w:type="dxa"/>
            <w:tcBorders>
              <w:bottom w:val="single" w:sz="4" w:space="0" w:color="auto"/>
            </w:tcBorders>
          </w:tcPr>
          <w:p w14:paraId="53528F81" w14:textId="77777777" w:rsidR="00D0235F" w:rsidRPr="000F255B" w:rsidRDefault="00D0235F" w:rsidP="00D0235F">
            <w:pPr>
              <w:rPr>
                <w:b/>
              </w:rPr>
            </w:pPr>
            <w:r w:rsidRPr="000F255B">
              <w:rPr>
                <w:b/>
              </w:rPr>
              <w:t>Financement</w:t>
            </w:r>
          </w:p>
        </w:tc>
        <w:tc>
          <w:tcPr>
            <w:tcW w:w="12014" w:type="dxa"/>
            <w:tcBorders>
              <w:bottom w:val="single" w:sz="4" w:space="0" w:color="auto"/>
            </w:tcBorders>
          </w:tcPr>
          <w:p w14:paraId="09465F17" w14:textId="7C402F8D" w:rsidR="00D0235F" w:rsidRDefault="00D0235F" w:rsidP="00D0235F">
            <w:pPr>
              <w:jc w:val="both"/>
            </w:pPr>
            <w:r>
              <w:t>Voyage de l’élève français (séjour non financé car hébergement en famille)</w:t>
            </w:r>
          </w:p>
        </w:tc>
      </w:tr>
      <w:tr w:rsidR="00D0235F" w14:paraId="25F3560A" w14:textId="77777777" w:rsidTr="000E1419">
        <w:tc>
          <w:tcPr>
            <w:tcW w:w="1980" w:type="dxa"/>
            <w:tcBorders>
              <w:top w:val="single" w:sz="4" w:space="0" w:color="auto"/>
              <w:left w:val="nil"/>
              <w:bottom w:val="nil"/>
              <w:right w:val="nil"/>
            </w:tcBorders>
          </w:tcPr>
          <w:p w14:paraId="1760388C" w14:textId="77777777" w:rsidR="00D0235F" w:rsidRPr="000F255B" w:rsidRDefault="00D0235F" w:rsidP="00D0235F">
            <w:pPr>
              <w:rPr>
                <w:b/>
              </w:rPr>
            </w:pPr>
          </w:p>
        </w:tc>
        <w:tc>
          <w:tcPr>
            <w:tcW w:w="12014" w:type="dxa"/>
            <w:tcBorders>
              <w:top w:val="single" w:sz="4" w:space="0" w:color="auto"/>
              <w:left w:val="nil"/>
              <w:bottom w:val="nil"/>
              <w:right w:val="nil"/>
            </w:tcBorders>
          </w:tcPr>
          <w:p w14:paraId="61662055" w14:textId="77777777" w:rsidR="00D0235F" w:rsidRDefault="00D0235F" w:rsidP="00D0235F">
            <w:pPr>
              <w:jc w:val="both"/>
            </w:pPr>
          </w:p>
        </w:tc>
      </w:tr>
    </w:tbl>
    <w:p w14:paraId="3543A569" w14:textId="77777777" w:rsidR="000E1419" w:rsidRDefault="000E1419"/>
    <w:p w14:paraId="277CED3A" w14:textId="732C2CEF" w:rsidR="000E1419" w:rsidRPr="000E1419" w:rsidRDefault="000E1419" w:rsidP="000E1419"/>
    <w:p w14:paraId="1505E2F5" w14:textId="53B080A2" w:rsidR="006D027D" w:rsidRDefault="006D027D">
      <w:r>
        <w:br w:type="page"/>
      </w:r>
    </w:p>
    <w:tbl>
      <w:tblPr>
        <w:tblStyle w:val="Grilledutableau"/>
        <w:tblW w:w="0" w:type="auto"/>
        <w:tblLook w:val="04A0" w:firstRow="1" w:lastRow="0" w:firstColumn="1" w:lastColumn="0" w:noHBand="0" w:noVBand="1"/>
      </w:tblPr>
      <w:tblGrid>
        <w:gridCol w:w="1980"/>
        <w:gridCol w:w="12014"/>
      </w:tblGrid>
      <w:tr w:rsidR="00B87FF8" w14:paraId="221ABAE0" w14:textId="77777777" w:rsidTr="003766C2">
        <w:tc>
          <w:tcPr>
            <w:tcW w:w="13994" w:type="dxa"/>
            <w:gridSpan w:val="2"/>
            <w:tcBorders>
              <w:bottom w:val="single" w:sz="4" w:space="0" w:color="auto"/>
            </w:tcBorders>
            <w:shd w:val="clear" w:color="auto" w:fill="BDD6EE" w:themeFill="accent1" w:themeFillTint="66"/>
          </w:tcPr>
          <w:p w14:paraId="7510D726" w14:textId="13413684" w:rsidR="00B87FF8" w:rsidRPr="000F255B" w:rsidRDefault="00B87FF8" w:rsidP="000F255B">
            <w:pPr>
              <w:jc w:val="center"/>
              <w:rPr>
                <w:b/>
                <w:sz w:val="24"/>
              </w:rPr>
            </w:pPr>
            <w:r>
              <w:rPr>
                <w:b/>
                <w:sz w:val="24"/>
              </w:rPr>
              <w:lastRenderedPageBreak/>
              <w:t xml:space="preserve">Catégorie B : </w:t>
            </w:r>
            <w:r w:rsidRPr="000F255B">
              <w:rPr>
                <w:b/>
                <w:sz w:val="24"/>
              </w:rPr>
              <w:t>MOBILITÉ SORTANTE D</w:t>
            </w:r>
            <w:r>
              <w:rPr>
                <w:b/>
                <w:sz w:val="24"/>
              </w:rPr>
              <w:t>ES PERSONNELS</w:t>
            </w:r>
          </w:p>
        </w:tc>
      </w:tr>
      <w:tr w:rsidR="00B87FF8" w14:paraId="4A597C60" w14:textId="77777777" w:rsidTr="003766C2">
        <w:tc>
          <w:tcPr>
            <w:tcW w:w="13994" w:type="dxa"/>
            <w:gridSpan w:val="2"/>
            <w:tcBorders>
              <w:top w:val="single" w:sz="4" w:space="0" w:color="auto"/>
              <w:left w:val="nil"/>
              <w:bottom w:val="single" w:sz="4" w:space="0" w:color="auto"/>
              <w:right w:val="nil"/>
            </w:tcBorders>
            <w:shd w:val="clear" w:color="auto" w:fill="auto"/>
          </w:tcPr>
          <w:p w14:paraId="76C3A337" w14:textId="489B85F6" w:rsidR="00A030C7" w:rsidRPr="000F255B" w:rsidRDefault="00A030C7" w:rsidP="000F255B">
            <w:pPr>
              <w:jc w:val="center"/>
              <w:rPr>
                <w:b/>
                <w:sz w:val="24"/>
              </w:rPr>
            </w:pPr>
          </w:p>
        </w:tc>
      </w:tr>
      <w:tr w:rsidR="00A90D43" w14:paraId="1CFB7200" w14:textId="77777777" w:rsidTr="003766C2">
        <w:tc>
          <w:tcPr>
            <w:tcW w:w="13994" w:type="dxa"/>
            <w:gridSpan w:val="2"/>
            <w:tcBorders>
              <w:top w:val="single" w:sz="4" w:space="0" w:color="auto"/>
            </w:tcBorders>
            <w:shd w:val="clear" w:color="auto" w:fill="BDD6EE" w:themeFill="accent1" w:themeFillTint="66"/>
          </w:tcPr>
          <w:p w14:paraId="7FE2058A" w14:textId="299C4ADD" w:rsidR="00A90D43" w:rsidRPr="000F255B" w:rsidRDefault="00B87FF8" w:rsidP="00B87FF8">
            <w:pPr>
              <w:rPr>
                <w:b/>
                <w:sz w:val="24"/>
              </w:rPr>
            </w:pPr>
            <w:r>
              <w:rPr>
                <w:b/>
                <w:sz w:val="24"/>
              </w:rPr>
              <w:t xml:space="preserve">B01 : </w:t>
            </w:r>
            <w:r w:rsidR="000F255B">
              <w:rPr>
                <w:b/>
                <w:sz w:val="24"/>
              </w:rPr>
              <w:t>Stage d’observation</w:t>
            </w:r>
            <w:r>
              <w:rPr>
                <w:b/>
                <w:sz w:val="24"/>
              </w:rPr>
              <w:t xml:space="preserve"> en situation de travail</w:t>
            </w:r>
          </w:p>
        </w:tc>
      </w:tr>
      <w:tr w:rsidR="00991569" w14:paraId="01AA8E15" w14:textId="77777777" w:rsidTr="000E1419">
        <w:tc>
          <w:tcPr>
            <w:tcW w:w="1980" w:type="dxa"/>
          </w:tcPr>
          <w:p w14:paraId="75512F02" w14:textId="77777777" w:rsidR="00991569" w:rsidRDefault="00991569" w:rsidP="00991569">
            <w:r>
              <w:t>Public</w:t>
            </w:r>
          </w:p>
        </w:tc>
        <w:tc>
          <w:tcPr>
            <w:tcW w:w="12014" w:type="dxa"/>
          </w:tcPr>
          <w:p w14:paraId="468544BB" w14:textId="042EAA71" w:rsidR="00991569" w:rsidRDefault="00991569" w:rsidP="00991569">
            <w:r>
              <w:t xml:space="preserve">Personnels du premier degré ; personnels du second degré des filières générales </w:t>
            </w:r>
          </w:p>
        </w:tc>
      </w:tr>
      <w:tr w:rsidR="00991569" w14:paraId="157DC9AA" w14:textId="77777777" w:rsidTr="000E1419">
        <w:tc>
          <w:tcPr>
            <w:tcW w:w="1980" w:type="dxa"/>
          </w:tcPr>
          <w:p w14:paraId="07196E6F" w14:textId="77777777" w:rsidR="00991569" w:rsidRDefault="00991569" w:rsidP="00991569">
            <w:r>
              <w:t>Durée</w:t>
            </w:r>
          </w:p>
        </w:tc>
        <w:tc>
          <w:tcPr>
            <w:tcW w:w="12014" w:type="dxa"/>
          </w:tcPr>
          <w:p w14:paraId="3B7F160D" w14:textId="2AD3EE2E" w:rsidR="00991569" w:rsidRDefault="00991569" w:rsidP="00991569">
            <w:r>
              <w:t>Une semaine (5 jours d’activité maximum + 2 jours de voyage)</w:t>
            </w:r>
          </w:p>
        </w:tc>
      </w:tr>
      <w:tr w:rsidR="00991569" w14:paraId="14FEEDFB" w14:textId="77777777" w:rsidTr="000E1419">
        <w:tc>
          <w:tcPr>
            <w:tcW w:w="1980" w:type="dxa"/>
          </w:tcPr>
          <w:p w14:paraId="15AE498A" w14:textId="5994535D" w:rsidR="00991569" w:rsidRDefault="00991569" w:rsidP="00991569">
            <w:r>
              <w:t>Destinations</w:t>
            </w:r>
          </w:p>
        </w:tc>
        <w:tc>
          <w:tcPr>
            <w:tcW w:w="12014" w:type="dxa"/>
          </w:tcPr>
          <w:p w14:paraId="5A47F13F" w14:textId="141396EC" w:rsidR="00991569" w:rsidRDefault="00991569" w:rsidP="00991569">
            <w:r>
              <w:t xml:space="preserve">Pays du programme Erasmus+ </w:t>
            </w:r>
          </w:p>
        </w:tc>
      </w:tr>
      <w:tr w:rsidR="00991569" w14:paraId="3187CE75" w14:textId="77777777" w:rsidTr="000E1419">
        <w:tc>
          <w:tcPr>
            <w:tcW w:w="1980" w:type="dxa"/>
          </w:tcPr>
          <w:p w14:paraId="12FC85D6" w14:textId="77777777" w:rsidR="00991569" w:rsidRDefault="00991569" w:rsidP="00991569">
            <w:r>
              <w:t>Objectifs</w:t>
            </w:r>
          </w:p>
        </w:tc>
        <w:tc>
          <w:tcPr>
            <w:tcW w:w="12014" w:type="dxa"/>
          </w:tcPr>
          <w:p w14:paraId="7DD1B6E7" w14:textId="140F47DF" w:rsidR="00991569" w:rsidRPr="007A2CF6" w:rsidRDefault="00991569" w:rsidP="00991569">
            <w:pPr>
              <w:jc w:val="both"/>
            </w:pPr>
            <w:r w:rsidRPr="007A2CF6">
              <w:t xml:space="preserve">Stages d’observation en situation de travail (« job </w:t>
            </w:r>
            <w:proofErr w:type="spellStart"/>
            <w:r w:rsidRPr="007A2CF6">
              <w:t>shadowing</w:t>
            </w:r>
            <w:proofErr w:type="spellEnd"/>
            <w:r w:rsidRPr="007A2CF6">
              <w:t xml:space="preserve"> ») dans un objectif d’amélioration des pratiques professionnelles ou sur une des thématiques suivantes : </w:t>
            </w:r>
            <w:r w:rsidR="00AD0F06" w:rsidRPr="007A2CF6">
              <w:t xml:space="preserve">EDD, </w:t>
            </w:r>
            <w:r w:rsidR="00651389">
              <w:t>climat scolaire</w:t>
            </w:r>
            <w:r w:rsidR="00AD0F06" w:rsidRPr="007A2CF6">
              <w:t>,</w:t>
            </w:r>
            <w:r w:rsidRPr="007A2CF6">
              <w:t xml:space="preserve"> inclusio</w:t>
            </w:r>
            <w:r w:rsidR="00C010F3">
              <w:t>n, numérique</w:t>
            </w:r>
            <w:r w:rsidR="00BC281A">
              <w:t>.</w:t>
            </w:r>
          </w:p>
          <w:p w14:paraId="1D06C3F0" w14:textId="7E107D7D" w:rsidR="00B423E3" w:rsidRPr="007A2CF6" w:rsidRDefault="00B423E3" w:rsidP="00991569">
            <w:pPr>
              <w:jc w:val="both"/>
            </w:pPr>
          </w:p>
          <w:p w14:paraId="59AB310D" w14:textId="45A5951A" w:rsidR="00B423E3" w:rsidRPr="00C010F3" w:rsidRDefault="00B423E3" w:rsidP="00C010F3">
            <w:pPr>
              <w:pStyle w:val="Default"/>
              <w:jc w:val="both"/>
              <w:rPr>
                <w:i/>
                <w:sz w:val="22"/>
                <w:szCs w:val="22"/>
              </w:rPr>
            </w:pPr>
            <w:r w:rsidRPr="007A2CF6">
              <w:rPr>
                <w:i/>
                <w:sz w:val="22"/>
                <w:szCs w:val="22"/>
              </w:rPr>
              <w:t xml:space="preserve">Guide Erasmus + : </w:t>
            </w:r>
            <w:r w:rsidR="00C010F3" w:rsidRPr="00C010F3">
              <w:rPr>
                <w:i/>
              </w:rPr>
              <w:t>« </w:t>
            </w:r>
            <w:r w:rsidR="00C010F3">
              <w:rPr>
                <w:i/>
              </w:rPr>
              <w:t>L</w:t>
            </w:r>
            <w:r w:rsidR="00C010F3" w:rsidRPr="00C010F3">
              <w:rPr>
                <w:i/>
              </w:rPr>
              <w:t>es participants peuvent passer un certain temps dans une organisation d’accueil située dans un autre pays dans le but d’apprendre de nouvelles pratiques et de recueillir de nouvelles idées grâce à l’observation et à l’interaction avec des pairs, des experts ou d’autres praticiens dans le cadre de leur travail quotidien au sein de l’organisation d’accueil</w:t>
            </w:r>
            <w:proofErr w:type="gramStart"/>
            <w:r w:rsidR="00C010F3">
              <w:rPr>
                <w:i/>
              </w:rPr>
              <w:t>.</w:t>
            </w:r>
            <w:r w:rsidRPr="00C010F3">
              <w:rPr>
                <w:i/>
                <w:sz w:val="22"/>
                <w:szCs w:val="22"/>
              </w:rPr>
              <w:t>»</w:t>
            </w:r>
            <w:proofErr w:type="gramEnd"/>
          </w:p>
          <w:p w14:paraId="7CA71970" w14:textId="553BC16C" w:rsidR="00991569" w:rsidRPr="007A2CF6" w:rsidRDefault="00991569" w:rsidP="00B423E3">
            <w:pPr>
              <w:jc w:val="both"/>
              <w:rPr>
                <w:i/>
                <w:iCs/>
              </w:rPr>
            </w:pPr>
          </w:p>
        </w:tc>
      </w:tr>
      <w:tr w:rsidR="00991569" w14:paraId="4CF8912C" w14:textId="77777777" w:rsidTr="000E1419">
        <w:tc>
          <w:tcPr>
            <w:tcW w:w="1980" w:type="dxa"/>
          </w:tcPr>
          <w:p w14:paraId="42082037" w14:textId="77777777" w:rsidR="00991569" w:rsidRDefault="00991569" w:rsidP="00991569">
            <w:r>
              <w:t>Financement</w:t>
            </w:r>
          </w:p>
        </w:tc>
        <w:tc>
          <w:tcPr>
            <w:tcW w:w="12014" w:type="dxa"/>
          </w:tcPr>
          <w:p w14:paraId="4CC8C348" w14:textId="3DE887EF" w:rsidR="00991569" w:rsidRDefault="00991569" w:rsidP="00991569">
            <w:r>
              <w:t>Voyage + séjour</w:t>
            </w:r>
          </w:p>
        </w:tc>
      </w:tr>
    </w:tbl>
    <w:p w14:paraId="56F41C25" w14:textId="7CA75B17" w:rsidR="00A030C7" w:rsidRDefault="00A030C7">
      <w:pPr>
        <w:rPr>
          <w:b/>
          <w:sz w:val="24"/>
        </w:rPr>
      </w:pPr>
    </w:p>
    <w:tbl>
      <w:tblPr>
        <w:tblStyle w:val="Grilledutableau"/>
        <w:tblW w:w="0" w:type="auto"/>
        <w:tblLook w:val="04A0" w:firstRow="1" w:lastRow="0" w:firstColumn="1" w:lastColumn="0" w:noHBand="0" w:noVBand="1"/>
      </w:tblPr>
      <w:tblGrid>
        <w:gridCol w:w="1980"/>
        <w:gridCol w:w="12014"/>
      </w:tblGrid>
      <w:tr w:rsidR="000F255B" w14:paraId="701222F5" w14:textId="77777777" w:rsidTr="00FB62E8">
        <w:tc>
          <w:tcPr>
            <w:tcW w:w="13994" w:type="dxa"/>
            <w:gridSpan w:val="2"/>
            <w:shd w:val="clear" w:color="auto" w:fill="BDD6EE" w:themeFill="accent1" w:themeFillTint="66"/>
          </w:tcPr>
          <w:p w14:paraId="1691BD26" w14:textId="258119C8" w:rsidR="000F255B" w:rsidRPr="000F255B" w:rsidRDefault="00B87FF8" w:rsidP="00B87FF8">
            <w:pPr>
              <w:rPr>
                <w:b/>
                <w:sz w:val="24"/>
              </w:rPr>
            </w:pPr>
            <w:r>
              <w:rPr>
                <w:b/>
                <w:sz w:val="24"/>
              </w:rPr>
              <w:t>B0</w:t>
            </w:r>
            <w:r w:rsidR="000E1419">
              <w:rPr>
                <w:b/>
                <w:sz w:val="24"/>
              </w:rPr>
              <w:t>2</w:t>
            </w:r>
            <w:r>
              <w:rPr>
                <w:b/>
                <w:sz w:val="24"/>
              </w:rPr>
              <w:t xml:space="preserve"> : </w:t>
            </w:r>
            <w:r w:rsidR="000F255B">
              <w:rPr>
                <w:b/>
                <w:sz w:val="24"/>
              </w:rPr>
              <w:t>Cours de langue</w:t>
            </w:r>
            <w:r w:rsidR="00FA5E50">
              <w:rPr>
                <w:b/>
                <w:sz w:val="24"/>
              </w:rPr>
              <w:t xml:space="preserve"> ou formation</w:t>
            </w:r>
          </w:p>
        </w:tc>
      </w:tr>
      <w:tr w:rsidR="00AD0F06" w14:paraId="11C60C1C" w14:textId="77777777" w:rsidTr="000E1419">
        <w:tc>
          <w:tcPr>
            <w:tcW w:w="1980" w:type="dxa"/>
          </w:tcPr>
          <w:p w14:paraId="02D40E23" w14:textId="77777777" w:rsidR="00AD0F06" w:rsidRDefault="00AD0F06" w:rsidP="00AD0F06">
            <w:r>
              <w:t>Public</w:t>
            </w:r>
          </w:p>
        </w:tc>
        <w:tc>
          <w:tcPr>
            <w:tcW w:w="12014" w:type="dxa"/>
          </w:tcPr>
          <w:p w14:paraId="5553FAB6" w14:textId="3FB6288E" w:rsidR="00AD0F06" w:rsidRDefault="00AD0F06" w:rsidP="00AD0F06">
            <w:r>
              <w:t xml:space="preserve">Personnels du premier degré ; personnels du second degré des filières générales </w:t>
            </w:r>
          </w:p>
        </w:tc>
      </w:tr>
      <w:tr w:rsidR="00AD0F06" w14:paraId="01B3C63E" w14:textId="77777777" w:rsidTr="000E1419">
        <w:tc>
          <w:tcPr>
            <w:tcW w:w="1980" w:type="dxa"/>
          </w:tcPr>
          <w:p w14:paraId="75CB488A" w14:textId="77777777" w:rsidR="00AD0F06" w:rsidRDefault="00AD0F06" w:rsidP="00AD0F06">
            <w:r>
              <w:t>Durée</w:t>
            </w:r>
          </w:p>
        </w:tc>
        <w:tc>
          <w:tcPr>
            <w:tcW w:w="12014" w:type="dxa"/>
          </w:tcPr>
          <w:p w14:paraId="3C0AB44D" w14:textId="15FB60A0" w:rsidR="00AD0F06" w:rsidRDefault="00AD0F06" w:rsidP="00AD0F06">
            <w:r>
              <w:t>Une semaine (5 jours d’activité + 2 jours de voyage)</w:t>
            </w:r>
          </w:p>
        </w:tc>
      </w:tr>
      <w:tr w:rsidR="00AD0F06" w14:paraId="7DF82567" w14:textId="77777777" w:rsidTr="000E1419">
        <w:tc>
          <w:tcPr>
            <w:tcW w:w="1980" w:type="dxa"/>
          </w:tcPr>
          <w:p w14:paraId="68C8EAF3" w14:textId="00B0195C" w:rsidR="00AD0F06" w:rsidRDefault="00AD0F06" w:rsidP="00AD0F06">
            <w:r>
              <w:t>Destinations</w:t>
            </w:r>
          </w:p>
        </w:tc>
        <w:tc>
          <w:tcPr>
            <w:tcW w:w="12014" w:type="dxa"/>
          </w:tcPr>
          <w:p w14:paraId="7EEA4F7B" w14:textId="32FBB485" w:rsidR="00AD0F06" w:rsidRDefault="00AD0F06" w:rsidP="00AD0F06">
            <w:r>
              <w:t>Pays du programme Erasmus+</w:t>
            </w:r>
          </w:p>
        </w:tc>
      </w:tr>
      <w:tr w:rsidR="00AD0F06" w14:paraId="302AAA38" w14:textId="77777777" w:rsidTr="000E1419">
        <w:tc>
          <w:tcPr>
            <w:tcW w:w="1980" w:type="dxa"/>
          </w:tcPr>
          <w:p w14:paraId="33BFED36" w14:textId="77777777" w:rsidR="00AD0F06" w:rsidRDefault="00AD0F06" w:rsidP="00AD0F06">
            <w:r>
              <w:t>Objectifs</w:t>
            </w:r>
          </w:p>
        </w:tc>
        <w:tc>
          <w:tcPr>
            <w:tcW w:w="12014" w:type="dxa"/>
          </w:tcPr>
          <w:p w14:paraId="5761DB5F" w14:textId="77777777" w:rsidR="00F269E6" w:rsidRDefault="00F269E6" w:rsidP="00F269E6">
            <w:pPr>
              <w:pStyle w:val="Default"/>
              <w:rPr>
                <w:i/>
                <w:sz w:val="22"/>
                <w:szCs w:val="22"/>
              </w:rPr>
            </w:pPr>
          </w:p>
          <w:p w14:paraId="45120063" w14:textId="7F1EB064" w:rsidR="00F269E6" w:rsidRDefault="00B423E3" w:rsidP="00F269E6">
            <w:pPr>
              <w:pStyle w:val="Default"/>
              <w:rPr>
                <w:i/>
              </w:rPr>
            </w:pPr>
            <w:r w:rsidRPr="00BC281A">
              <w:rPr>
                <w:i/>
                <w:sz w:val="22"/>
                <w:szCs w:val="22"/>
              </w:rPr>
              <w:t xml:space="preserve">Guide Erasmus : </w:t>
            </w:r>
            <w:r w:rsidRPr="00F269E6">
              <w:rPr>
                <w:i/>
                <w:sz w:val="22"/>
                <w:szCs w:val="22"/>
              </w:rPr>
              <w:t>« </w:t>
            </w:r>
            <w:r w:rsidR="00C010F3" w:rsidRPr="00F269E6">
              <w:rPr>
                <w:i/>
                <w:sz w:val="22"/>
                <w:szCs w:val="22"/>
              </w:rPr>
              <w:t>Les parti</w:t>
            </w:r>
            <w:r w:rsidR="00C010F3" w:rsidRPr="00F269E6">
              <w:rPr>
                <w:i/>
              </w:rPr>
              <w:t xml:space="preserve">cipants peuvent bénéficier d’un cours structuré ou d’un type de formation similaire dispensé par des professionnels qualifiés et fondé sur un programme d’apprentissage et des acquis d’apprentissage prédéfinis. </w:t>
            </w:r>
          </w:p>
          <w:p w14:paraId="172DAE4D" w14:textId="77777777" w:rsidR="00F269E6" w:rsidRDefault="00C010F3" w:rsidP="00F269E6">
            <w:pPr>
              <w:pStyle w:val="Default"/>
              <w:rPr>
                <w:i/>
              </w:rPr>
            </w:pPr>
            <w:r w:rsidRPr="00F269E6">
              <w:rPr>
                <w:i/>
              </w:rPr>
              <w:t>Un nombre maximal de trois personnes de la même organisation d’envoi et un nombre maximal de dix personnes du même consortium de mobilité pourront bénéficier d’un financement pour suivre le même cours ensemble. Chaque personne ne peut participer qu’à un seul cours par projet.</w:t>
            </w:r>
            <w:r w:rsidR="00F269E6" w:rsidRPr="00F269E6">
              <w:rPr>
                <w:i/>
              </w:rPr>
              <w:t xml:space="preserve"> </w:t>
            </w:r>
          </w:p>
          <w:p w14:paraId="4C6FFBE0" w14:textId="77777777" w:rsidR="00F269E6" w:rsidRDefault="00F269E6" w:rsidP="00F269E6">
            <w:pPr>
              <w:pStyle w:val="Default"/>
              <w:rPr>
                <w:i/>
              </w:rPr>
            </w:pPr>
            <w:r w:rsidRPr="00F269E6">
              <w:rPr>
                <w:i/>
              </w:rPr>
              <w:t xml:space="preserve">Le contenu des cours et des formations doit être adapté aux compétences professionnelles du personnel participant et aux objectifs du projet ou de l’accréditation. </w:t>
            </w:r>
          </w:p>
          <w:p w14:paraId="783B2F57" w14:textId="4E8481AF" w:rsidR="00AD0F06" w:rsidRPr="00F269E6" w:rsidRDefault="00F269E6" w:rsidP="00F269E6">
            <w:pPr>
              <w:pStyle w:val="Default"/>
              <w:rPr>
                <w:i/>
              </w:rPr>
            </w:pPr>
            <w:r w:rsidRPr="00F269E6">
              <w:rPr>
                <w:i/>
              </w:rPr>
              <w:t xml:space="preserve">Les activités entièrement passives telles que l’écoute de conférences, de discours ou de conférences de masse ne sont pas soutenues. </w:t>
            </w:r>
            <w:r w:rsidR="00B423E3" w:rsidRPr="00F269E6">
              <w:rPr>
                <w:i/>
              </w:rPr>
              <w:t>»</w:t>
            </w:r>
          </w:p>
          <w:p w14:paraId="762680B0" w14:textId="3E23CE02" w:rsidR="00D56DC5" w:rsidRPr="007A2CF6" w:rsidRDefault="00D56DC5" w:rsidP="00B423E3">
            <w:pPr>
              <w:shd w:val="clear" w:color="auto" w:fill="FFFFFF" w:themeFill="background1"/>
            </w:pPr>
          </w:p>
          <w:p w14:paraId="4F9A7E58" w14:textId="4E3B1A89" w:rsidR="00D56DC5" w:rsidRPr="007A2CF6" w:rsidRDefault="00D56DC5" w:rsidP="00B423E3">
            <w:pPr>
              <w:shd w:val="clear" w:color="auto" w:fill="FFFFFF" w:themeFill="background1"/>
            </w:pPr>
          </w:p>
          <w:p w14:paraId="235446A5" w14:textId="5A6A1114" w:rsidR="00B423E3" w:rsidRPr="007A2CF6" w:rsidRDefault="00B423E3" w:rsidP="00B423E3">
            <w:r w:rsidRPr="007A2CF6">
              <w:t xml:space="preserve">Orientations </w:t>
            </w:r>
            <w:r w:rsidR="00D56DC5" w:rsidRPr="007A2CF6">
              <w:t>MIRABEEL</w:t>
            </w:r>
            <w:r w:rsidRPr="007A2CF6">
              <w:t> :</w:t>
            </w:r>
          </w:p>
          <w:p w14:paraId="43E5D69A" w14:textId="42EFA413" w:rsidR="00D56DC5" w:rsidRPr="007A2CF6" w:rsidRDefault="00D56DC5" w:rsidP="00D56DC5">
            <w:pPr>
              <w:pStyle w:val="Paragraphedeliste"/>
              <w:numPr>
                <w:ilvl w:val="0"/>
                <w:numId w:val="6"/>
              </w:numPr>
              <w:shd w:val="clear" w:color="auto" w:fill="FFFFFF" w:themeFill="background1"/>
            </w:pPr>
            <w:r w:rsidRPr="007A2CF6">
              <w:t>Cours de langue (pour les personnels du premier degré et pour les personnels du second degré qui envisagent de passer la certification DNL</w:t>
            </w:r>
            <w:r w:rsidR="00BC281A">
              <w:t>.</w:t>
            </w:r>
            <w:r w:rsidR="00F269E6">
              <w:t>)</w:t>
            </w:r>
          </w:p>
          <w:p w14:paraId="321DFFA9" w14:textId="39D8B26F" w:rsidR="00D56DC5" w:rsidRPr="007A2CF6" w:rsidRDefault="00D56DC5" w:rsidP="00B423E3">
            <w:pPr>
              <w:pStyle w:val="Paragraphedeliste"/>
              <w:numPr>
                <w:ilvl w:val="0"/>
                <w:numId w:val="6"/>
              </w:numPr>
              <w:shd w:val="clear" w:color="auto" w:fill="FFFFFF" w:themeFill="background1"/>
            </w:pPr>
            <w:r w:rsidRPr="007A2CF6">
              <w:t>Formation</w:t>
            </w:r>
            <w:r w:rsidR="00F269E6">
              <w:t>s</w:t>
            </w:r>
            <w:r w:rsidRPr="007A2CF6">
              <w:t xml:space="preserve"> pertinentes dans le cadre du projet d’établissement dans une des thématiques suivantes : EDD, </w:t>
            </w:r>
            <w:r w:rsidR="00651389">
              <w:t>climat scolaire</w:t>
            </w:r>
            <w:r w:rsidRPr="007A2CF6">
              <w:t xml:space="preserve">, numérique, inclusion. </w:t>
            </w:r>
          </w:p>
          <w:p w14:paraId="64FBEFC8" w14:textId="56749F11" w:rsidR="00B423E3" w:rsidRPr="007A2CF6" w:rsidRDefault="00B423E3" w:rsidP="00D56DC5">
            <w:pPr>
              <w:pStyle w:val="Paragraphedeliste"/>
              <w:ind w:left="1068"/>
            </w:pPr>
          </w:p>
        </w:tc>
      </w:tr>
      <w:tr w:rsidR="00AD0F06" w14:paraId="14B084A2" w14:textId="77777777" w:rsidTr="000E1419">
        <w:tc>
          <w:tcPr>
            <w:tcW w:w="1980" w:type="dxa"/>
          </w:tcPr>
          <w:p w14:paraId="6FD0E2A9" w14:textId="77777777" w:rsidR="00AD0F06" w:rsidRDefault="00AD0F06" w:rsidP="00AD0F06">
            <w:r>
              <w:lastRenderedPageBreak/>
              <w:t>Financement</w:t>
            </w:r>
          </w:p>
        </w:tc>
        <w:tc>
          <w:tcPr>
            <w:tcW w:w="12014" w:type="dxa"/>
          </w:tcPr>
          <w:p w14:paraId="3A02E201" w14:textId="77777777" w:rsidR="00AD0F06" w:rsidRDefault="00AD0F06" w:rsidP="00AD0F06">
            <w:r>
              <w:t>Voyage + séjour</w:t>
            </w:r>
          </w:p>
          <w:p w14:paraId="5EFBFC93" w14:textId="77777777" w:rsidR="00AD0F06" w:rsidRDefault="00AD0F06" w:rsidP="00AD0F06">
            <w:r>
              <w:t>Cours et Formation dans la limite de 80 € / jour</w:t>
            </w:r>
          </w:p>
          <w:p w14:paraId="43C26BDB" w14:textId="4C75D1BC" w:rsidR="00BC281A" w:rsidRDefault="00BC281A" w:rsidP="00AD0F06"/>
        </w:tc>
      </w:tr>
      <w:tr w:rsidR="000E1419" w14:paraId="50040D8D" w14:textId="77777777" w:rsidTr="0003383B">
        <w:tc>
          <w:tcPr>
            <w:tcW w:w="13994" w:type="dxa"/>
            <w:gridSpan w:val="2"/>
            <w:shd w:val="clear" w:color="auto" w:fill="BDD6EE" w:themeFill="accent1" w:themeFillTint="66"/>
          </w:tcPr>
          <w:p w14:paraId="1F13A740" w14:textId="2F1383A5" w:rsidR="000E1419" w:rsidRPr="000F255B" w:rsidRDefault="000E1419" w:rsidP="0003383B">
            <w:pPr>
              <w:rPr>
                <w:b/>
                <w:sz w:val="24"/>
              </w:rPr>
            </w:pPr>
            <w:r>
              <w:rPr>
                <w:b/>
                <w:sz w:val="24"/>
              </w:rPr>
              <w:t>B03 : Mission d’enseignement à l’étranger</w:t>
            </w:r>
          </w:p>
        </w:tc>
      </w:tr>
      <w:tr w:rsidR="00AD0F06" w14:paraId="5753F8B6" w14:textId="77777777" w:rsidTr="000E1419">
        <w:tc>
          <w:tcPr>
            <w:tcW w:w="1980" w:type="dxa"/>
          </w:tcPr>
          <w:p w14:paraId="4688C91E" w14:textId="77777777" w:rsidR="00AD0F06" w:rsidRDefault="00AD0F06" w:rsidP="00AD0F06">
            <w:r>
              <w:t>Public</w:t>
            </w:r>
          </w:p>
        </w:tc>
        <w:tc>
          <w:tcPr>
            <w:tcW w:w="12014" w:type="dxa"/>
          </w:tcPr>
          <w:p w14:paraId="08985726" w14:textId="2AC3D213" w:rsidR="00AD0F06" w:rsidRDefault="00AD0F06" w:rsidP="00AD0F06">
            <w:r>
              <w:t>Personnels du premier degré ; personnels du second degré des filières générales</w:t>
            </w:r>
          </w:p>
        </w:tc>
      </w:tr>
      <w:tr w:rsidR="00FB6320" w14:paraId="7945D886" w14:textId="77777777" w:rsidTr="000E1419">
        <w:tc>
          <w:tcPr>
            <w:tcW w:w="1980" w:type="dxa"/>
          </w:tcPr>
          <w:p w14:paraId="4B7948E4" w14:textId="77777777" w:rsidR="00FB6320" w:rsidRDefault="00FB6320" w:rsidP="00FB6320">
            <w:r>
              <w:t>Durée</w:t>
            </w:r>
          </w:p>
        </w:tc>
        <w:tc>
          <w:tcPr>
            <w:tcW w:w="12014" w:type="dxa"/>
          </w:tcPr>
          <w:p w14:paraId="06EE2674" w14:textId="5700D57E" w:rsidR="00FB6320" w:rsidRDefault="00FB6320" w:rsidP="00FB6320">
            <w:r>
              <w:t>Une semaine (5 jours d’activité + 2 jours de voyage)</w:t>
            </w:r>
          </w:p>
        </w:tc>
      </w:tr>
      <w:tr w:rsidR="00FB6320" w14:paraId="697F7F6A" w14:textId="77777777" w:rsidTr="000E1419">
        <w:tc>
          <w:tcPr>
            <w:tcW w:w="1980" w:type="dxa"/>
          </w:tcPr>
          <w:p w14:paraId="07908937" w14:textId="77777777" w:rsidR="00FB6320" w:rsidRDefault="00FB6320" w:rsidP="00FB6320">
            <w:r>
              <w:t>Destinations</w:t>
            </w:r>
          </w:p>
        </w:tc>
        <w:tc>
          <w:tcPr>
            <w:tcW w:w="12014" w:type="dxa"/>
          </w:tcPr>
          <w:p w14:paraId="4EECB242" w14:textId="612B0D77" w:rsidR="00FB6320" w:rsidRDefault="00FB6320" w:rsidP="00FB6320">
            <w:r>
              <w:t xml:space="preserve">Pays du programme Erasmus+ </w:t>
            </w:r>
          </w:p>
        </w:tc>
      </w:tr>
      <w:tr w:rsidR="00FB6320" w14:paraId="13834789" w14:textId="77777777" w:rsidTr="000E1419">
        <w:tc>
          <w:tcPr>
            <w:tcW w:w="1980" w:type="dxa"/>
          </w:tcPr>
          <w:p w14:paraId="5B4805DC" w14:textId="77777777" w:rsidR="00FB6320" w:rsidRDefault="00FB6320" w:rsidP="00FB6320">
            <w:r>
              <w:t>Objectifs</w:t>
            </w:r>
          </w:p>
        </w:tc>
        <w:tc>
          <w:tcPr>
            <w:tcW w:w="12014" w:type="dxa"/>
          </w:tcPr>
          <w:p w14:paraId="5FF6B060" w14:textId="5048F8F9" w:rsidR="00FB6320" w:rsidRPr="007A2CF6" w:rsidRDefault="00FB6320" w:rsidP="00FB6320"/>
          <w:p w14:paraId="7BAAB880" w14:textId="196D5C18" w:rsidR="00FB6320" w:rsidRPr="007A2CF6" w:rsidRDefault="00FB6320" w:rsidP="00FB6320">
            <w:r w:rsidRPr="007A2CF6">
              <w:t xml:space="preserve">Enseignement actif dans un établissement scolaire partenaire </w:t>
            </w:r>
          </w:p>
          <w:p w14:paraId="0A41AFB7" w14:textId="77777777" w:rsidR="00B423E3" w:rsidRPr="007A2CF6" w:rsidRDefault="00B423E3" w:rsidP="00B423E3">
            <w:pPr>
              <w:pStyle w:val="Default"/>
              <w:rPr>
                <w:sz w:val="22"/>
                <w:szCs w:val="22"/>
              </w:rPr>
            </w:pPr>
          </w:p>
          <w:p w14:paraId="325F47AB" w14:textId="5F7AD6CF" w:rsidR="00B423E3" w:rsidRPr="00BC281A" w:rsidRDefault="00B423E3" w:rsidP="00B423E3">
            <w:pPr>
              <w:pStyle w:val="Default"/>
              <w:rPr>
                <w:i/>
                <w:sz w:val="22"/>
                <w:szCs w:val="22"/>
              </w:rPr>
            </w:pPr>
            <w:r w:rsidRPr="00BC281A">
              <w:rPr>
                <w:i/>
                <w:sz w:val="22"/>
                <w:szCs w:val="22"/>
              </w:rPr>
              <w:t>Guide Erasmus + « les participants peuvent passer un certain temps à enseigner ou à former des apprenants dans une organisation d’accueil située dans un autre pays, afin d’apprendre en accomplissant leurs tâches et en échangeant avec des pairs. »</w:t>
            </w:r>
          </w:p>
          <w:p w14:paraId="44D3B1C8" w14:textId="1372BBA5" w:rsidR="00FB6320" w:rsidRPr="007A2CF6" w:rsidRDefault="00FB6320" w:rsidP="00FB6320"/>
          <w:p w14:paraId="085810D0" w14:textId="48EC6894" w:rsidR="00FB6320" w:rsidRPr="007A2CF6" w:rsidRDefault="00BC281A" w:rsidP="00FB6320">
            <w:r>
              <w:t>Orientation</w:t>
            </w:r>
            <w:r w:rsidR="00FB6320" w:rsidRPr="007A2CF6">
              <w:t xml:space="preserve"> MIRABEEL :</w:t>
            </w:r>
          </w:p>
          <w:p w14:paraId="5A01D633" w14:textId="0081102E" w:rsidR="00FB6320" w:rsidRPr="007A2CF6" w:rsidRDefault="00FB6320" w:rsidP="00F269E6">
            <w:pPr>
              <w:pStyle w:val="Paragraphedeliste"/>
              <w:numPr>
                <w:ilvl w:val="0"/>
                <w:numId w:val="4"/>
              </w:numPr>
            </w:pPr>
            <w:r w:rsidRPr="007A2CF6">
              <w:t>Un descriptif des activités et un planning de la semaine est à fournir avec le dossier de candidature</w:t>
            </w:r>
            <w:r w:rsidR="00F269E6">
              <w:t xml:space="preserve">. </w:t>
            </w:r>
            <w:r w:rsidRPr="007A2CF6">
              <w:t>Un avis favorable des corps d’inspection est préalablement requis.</w:t>
            </w:r>
          </w:p>
        </w:tc>
      </w:tr>
      <w:tr w:rsidR="00FB6320" w14:paraId="53CB87A6" w14:textId="77777777" w:rsidTr="000E1419">
        <w:tc>
          <w:tcPr>
            <w:tcW w:w="1980" w:type="dxa"/>
          </w:tcPr>
          <w:p w14:paraId="2E5C008D" w14:textId="77777777" w:rsidR="00FB6320" w:rsidRDefault="00FB6320" w:rsidP="00FB6320">
            <w:r>
              <w:t>Financement</w:t>
            </w:r>
          </w:p>
        </w:tc>
        <w:tc>
          <w:tcPr>
            <w:tcW w:w="12014" w:type="dxa"/>
          </w:tcPr>
          <w:p w14:paraId="1A8DFA64" w14:textId="6A0C8571" w:rsidR="00FB6320" w:rsidRDefault="00FB6320" w:rsidP="00FB6320">
            <w:r>
              <w:t>Voyage + séjour</w:t>
            </w:r>
          </w:p>
        </w:tc>
      </w:tr>
    </w:tbl>
    <w:p w14:paraId="421FC36C" w14:textId="77777777" w:rsidR="000E1419" w:rsidRDefault="000E1419" w:rsidP="000E1419">
      <w:pPr>
        <w:rPr>
          <w:b/>
          <w:sz w:val="24"/>
        </w:rPr>
      </w:pPr>
    </w:p>
    <w:p w14:paraId="2D3F103A" w14:textId="50F9538E" w:rsidR="00A030C7" w:rsidRDefault="00A030C7">
      <w:pPr>
        <w:rPr>
          <w:b/>
          <w:sz w:val="24"/>
        </w:rPr>
      </w:pPr>
      <w:r>
        <w:rPr>
          <w:b/>
          <w:sz w:val="24"/>
        </w:rPr>
        <w:br w:type="page"/>
      </w:r>
    </w:p>
    <w:p w14:paraId="0FA20EAF" w14:textId="77777777" w:rsidR="003766C2" w:rsidRDefault="003766C2" w:rsidP="006D027D">
      <w:pPr>
        <w:rPr>
          <w:b/>
          <w:sz w:val="24"/>
        </w:rPr>
      </w:pPr>
    </w:p>
    <w:tbl>
      <w:tblPr>
        <w:tblStyle w:val="Grilledutableau"/>
        <w:tblW w:w="0" w:type="auto"/>
        <w:tblLook w:val="04A0" w:firstRow="1" w:lastRow="0" w:firstColumn="1" w:lastColumn="0" w:noHBand="0" w:noVBand="1"/>
      </w:tblPr>
      <w:tblGrid>
        <w:gridCol w:w="1980"/>
        <w:gridCol w:w="12014"/>
      </w:tblGrid>
      <w:tr w:rsidR="00FB62E8" w14:paraId="71D47F7D" w14:textId="77777777" w:rsidTr="00FB62E8">
        <w:tc>
          <w:tcPr>
            <w:tcW w:w="13994" w:type="dxa"/>
            <w:gridSpan w:val="2"/>
            <w:tcBorders>
              <w:bottom w:val="single" w:sz="4" w:space="0" w:color="auto"/>
            </w:tcBorders>
            <w:shd w:val="clear" w:color="auto" w:fill="92D050"/>
          </w:tcPr>
          <w:p w14:paraId="15A83A62" w14:textId="5E2418DB" w:rsidR="00FB62E8" w:rsidRPr="000F255B" w:rsidRDefault="00FB62E8" w:rsidP="006D027D">
            <w:pPr>
              <w:jc w:val="center"/>
              <w:rPr>
                <w:b/>
                <w:sz w:val="24"/>
              </w:rPr>
            </w:pPr>
            <w:r>
              <w:rPr>
                <w:b/>
                <w:sz w:val="24"/>
              </w:rPr>
              <w:t xml:space="preserve">Catégorie C : </w:t>
            </w:r>
            <w:r w:rsidRPr="000F255B">
              <w:rPr>
                <w:b/>
                <w:sz w:val="24"/>
              </w:rPr>
              <w:t xml:space="preserve">MOBILITÉ </w:t>
            </w:r>
            <w:r>
              <w:rPr>
                <w:b/>
                <w:sz w:val="24"/>
              </w:rPr>
              <w:t>ENTR</w:t>
            </w:r>
            <w:r w:rsidRPr="000F255B">
              <w:rPr>
                <w:b/>
                <w:sz w:val="24"/>
              </w:rPr>
              <w:t>ANTE D</w:t>
            </w:r>
            <w:r>
              <w:rPr>
                <w:b/>
                <w:sz w:val="24"/>
              </w:rPr>
              <w:t>ES PERSONNELS</w:t>
            </w:r>
          </w:p>
        </w:tc>
      </w:tr>
      <w:tr w:rsidR="006D027D" w14:paraId="343DF2B7" w14:textId="77777777" w:rsidTr="00FB62E8">
        <w:tc>
          <w:tcPr>
            <w:tcW w:w="13994" w:type="dxa"/>
            <w:gridSpan w:val="2"/>
            <w:tcBorders>
              <w:top w:val="single" w:sz="4" w:space="0" w:color="auto"/>
              <w:left w:val="nil"/>
              <w:bottom w:val="single" w:sz="4" w:space="0" w:color="auto"/>
              <w:right w:val="nil"/>
            </w:tcBorders>
            <w:shd w:val="clear" w:color="auto" w:fill="auto"/>
          </w:tcPr>
          <w:p w14:paraId="25A4898F" w14:textId="64139410" w:rsidR="006D027D" w:rsidRPr="000F255B" w:rsidRDefault="006D027D" w:rsidP="006D027D">
            <w:pPr>
              <w:jc w:val="center"/>
              <w:rPr>
                <w:b/>
                <w:sz w:val="24"/>
              </w:rPr>
            </w:pPr>
          </w:p>
        </w:tc>
      </w:tr>
      <w:tr w:rsidR="006D027D" w14:paraId="3EFBC786" w14:textId="77777777" w:rsidTr="00FB62E8">
        <w:tc>
          <w:tcPr>
            <w:tcW w:w="13994" w:type="dxa"/>
            <w:gridSpan w:val="2"/>
            <w:tcBorders>
              <w:top w:val="single" w:sz="4" w:space="0" w:color="auto"/>
            </w:tcBorders>
            <w:shd w:val="clear" w:color="auto" w:fill="92D050"/>
          </w:tcPr>
          <w:p w14:paraId="4795200F" w14:textId="1326606F" w:rsidR="006D027D" w:rsidRPr="000F255B" w:rsidRDefault="003766C2" w:rsidP="003766C2">
            <w:pPr>
              <w:rPr>
                <w:b/>
                <w:sz w:val="24"/>
              </w:rPr>
            </w:pPr>
            <w:r>
              <w:rPr>
                <w:b/>
                <w:sz w:val="24"/>
              </w:rPr>
              <w:t xml:space="preserve">C01 : </w:t>
            </w:r>
            <w:r w:rsidR="006D027D">
              <w:rPr>
                <w:b/>
                <w:sz w:val="24"/>
              </w:rPr>
              <w:t>Accueil d’experts invités</w:t>
            </w:r>
          </w:p>
        </w:tc>
      </w:tr>
      <w:tr w:rsidR="00FB6320" w14:paraId="7D033238" w14:textId="77777777" w:rsidTr="00116AA3">
        <w:tc>
          <w:tcPr>
            <w:tcW w:w="1980" w:type="dxa"/>
          </w:tcPr>
          <w:p w14:paraId="5C2244FB" w14:textId="77777777" w:rsidR="00FB6320" w:rsidRDefault="00FB6320" w:rsidP="00FB6320">
            <w:r>
              <w:t>Public</w:t>
            </w:r>
          </w:p>
        </w:tc>
        <w:tc>
          <w:tcPr>
            <w:tcW w:w="12014" w:type="dxa"/>
          </w:tcPr>
          <w:p w14:paraId="579B2F7F" w14:textId="77777777" w:rsidR="00FB6320" w:rsidRDefault="00FB6320" w:rsidP="00FB6320">
            <w:r>
              <w:t>Formateurs, enseignants, experts, professionnels qualifiés</w:t>
            </w:r>
          </w:p>
          <w:p w14:paraId="5C7B3092" w14:textId="02DA0898" w:rsidR="00FB6320" w:rsidRDefault="00FB6320" w:rsidP="00FB6320">
            <w:r>
              <w:t>L’expert doit justifier d’une expertise au regard des besoins et des objectifs de l’établissement</w:t>
            </w:r>
            <w:r w:rsidR="00BC281A">
              <w:t>.</w:t>
            </w:r>
          </w:p>
        </w:tc>
      </w:tr>
      <w:tr w:rsidR="00FB6320" w14:paraId="67668DF0" w14:textId="77777777" w:rsidTr="00116AA3">
        <w:tc>
          <w:tcPr>
            <w:tcW w:w="1980" w:type="dxa"/>
          </w:tcPr>
          <w:p w14:paraId="7EAA7EBC" w14:textId="77777777" w:rsidR="00FB6320" w:rsidRDefault="00FB6320" w:rsidP="00FB6320">
            <w:r>
              <w:t>Durée</w:t>
            </w:r>
          </w:p>
        </w:tc>
        <w:tc>
          <w:tcPr>
            <w:tcW w:w="12014" w:type="dxa"/>
          </w:tcPr>
          <w:p w14:paraId="6DCCDDD1" w14:textId="1BBF272D" w:rsidR="00FB6320" w:rsidRDefault="00FB6320" w:rsidP="00FB6320">
            <w:r>
              <w:t>De 2 à 5 jours d’activité + 2 jours de voyage</w:t>
            </w:r>
          </w:p>
        </w:tc>
      </w:tr>
      <w:tr w:rsidR="00FB6320" w14:paraId="16625174" w14:textId="77777777" w:rsidTr="00116AA3">
        <w:tc>
          <w:tcPr>
            <w:tcW w:w="1980" w:type="dxa"/>
          </w:tcPr>
          <w:p w14:paraId="6460297F" w14:textId="04FD8E7B" w:rsidR="00FB6320" w:rsidRDefault="00FB6320" w:rsidP="00FB6320">
            <w:r>
              <w:t>Provenance</w:t>
            </w:r>
          </w:p>
        </w:tc>
        <w:tc>
          <w:tcPr>
            <w:tcW w:w="12014" w:type="dxa"/>
          </w:tcPr>
          <w:p w14:paraId="5824C9E6" w14:textId="7ED00E92" w:rsidR="00FB6320" w:rsidRDefault="00FB6320" w:rsidP="00FB6320">
            <w:r>
              <w:t xml:space="preserve">Pays participant du programme Erasmus+ </w:t>
            </w:r>
          </w:p>
        </w:tc>
      </w:tr>
      <w:tr w:rsidR="00FB6320" w14:paraId="312A2631" w14:textId="77777777" w:rsidTr="00116AA3">
        <w:tc>
          <w:tcPr>
            <w:tcW w:w="1980" w:type="dxa"/>
          </w:tcPr>
          <w:p w14:paraId="54DB7AE6" w14:textId="77777777" w:rsidR="00FB6320" w:rsidRDefault="00FB6320" w:rsidP="00FB6320">
            <w:r>
              <w:t>Objectifs</w:t>
            </w:r>
          </w:p>
        </w:tc>
        <w:tc>
          <w:tcPr>
            <w:tcW w:w="12014" w:type="dxa"/>
          </w:tcPr>
          <w:p w14:paraId="5B3C1891" w14:textId="3EBD1F9E" w:rsidR="00FB6320" w:rsidRDefault="00FB6320" w:rsidP="00FB6320">
            <w:pPr>
              <w:jc w:val="both"/>
            </w:pPr>
            <w:r w:rsidRPr="00D56DC5">
              <w:t xml:space="preserve">Experts qui contribueront à améliorer l’enseignement, la formation et l’apprentissage au sein de l’établissement d’accueil sur une des thématiques suivantes : EDD, </w:t>
            </w:r>
            <w:r w:rsidR="00651389">
              <w:t>climat scolaire</w:t>
            </w:r>
            <w:r w:rsidRPr="00D56DC5">
              <w:t>, numérique, inclusion (descriptif des tâches d’enseignement ou de formation à fournir)</w:t>
            </w:r>
            <w:r w:rsidR="00BC281A">
              <w:t>.</w:t>
            </w:r>
          </w:p>
          <w:p w14:paraId="0BE2E3C5" w14:textId="77777777" w:rsidR="00BC281A" w:rsidRPr="00D56DC5" w:rsidRDefault="00BC281A" w:rsidP="00FB6320">
            <w:pPr>
              <w:jc w:val="both"/>
            </w:pPr>
          </w:p>
          <w:p w14:paraId="7E89B8F8" w14:textId="315354B6" w:rsidR="00D56DC5" w:rsidRPr="00BC281A" w:rsidRDefault="00D56DC5" w:rsidP="00D56DC5">
            <w:pPr>
              <w:pStyle w:val="Default"/>
              <w:jc w:val="both"/>
              <w:rPr>
                <w:i/>
                <w:sz w:val="22"/>
                <w:szCs w:val="22"/>
              </w:rPr>
            </w:pPr>
            <w:r w:rsidRPr="00BC281A">
              <w:rPr>
                <w:i/>
                <w:sz w:val="22"/>
                <w:szCs w:val="22"/>
              </w:rPr>
              <w:t>Guide Erasmus + : « les établissements scolaires peuvent inviter des formateurs, des enseignants, des experts en politique ou d’autres professionnels qualifiés en provenance de l’étranger qui pourront contribuer à améliorer l’enseignement et l’apprentissage au sein de l’établissement scolaire d’accueil. À titre d’exemple, des experts invités peuvent dispenser des formations au personnel de l’établissement scolaire, présenter de nouvelles méthodes d’enseignement ou faciliter le transfert de bonnes pratiques en matière d’organisation et de gestion. »</w:t>
            </w:r>
          </w:p>
          <w:p w14:paraId="0306A665" w14:textId="58EC44FE" w:rsidR="00D56DC5" w:rsidRPr="00D56DC5" w:rsidRDefault="00D56DC5" w:rsidP="00FB6320">
            <w:pPr>
              <w:jc w:val="both"/>
            </w:pPr>
          </w:p>
        </w:tc>
      </w:tr>
      <w:tr w:rsidR="00FB6320" w14:paraId="4D843F3E" w14:textId="77777777" w:rsidTr="00116AA3">
        <w:tc>
          <w:tcPr>
            <w:tcW w:w="1980" w:type="dxa"/>
          </w:tcPr>
          <w:p w14:paraId="4EAFBCFD" w14:textId="526400DF" w:rsidR="00FB6320" w:rsidRDefault="00FB6320" w:rsidP="00FB6320">
            <w:r>
              <w:t>Financement</w:t>
            </w:r>
          </w:p>
        </w:tc>
        <w:tc>
          <w:tcPr>
            <w:tcW w:w="12014" w:type="dxa"/>
          </w:tcPr>
          <w:p w14:paraId="46F203B0" w14:textId="5958747E" w:rsidR="00FB6320" w:rsidRPr="000032F1" w:rsidRDefault="00FB6320" w:rsidP="00B423E3">
            <w:r>
              <w:t xml:space="preserve">Voyage + séjour </w:t>
            </w:r>
          </w:p>
        </w:tc>
      </w:tr>
    </w:tbl>
    <w:p w14:paraId="5E343609" w14:textId="77777777" w:rsidR="00326BA4" w:rsidRDefault="00326BA4" w:rsidP="006D027D">
      <w:bookmarkStart w:id="0" w:name="_GoBack"/>
      <w:bookmarkEnd w:id="0"/>
    </w:p>
    <w:sectPr w:rsidR="00326BA4" w:rsidSect="00A90D43">
      <w:footerReference w:type="default" r:id="rId10"/>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5E82E1" w14:textId="77777777" w:rsidR="001F777B" w:rsidRDefault="001F777B" w:rsidP="001F777B">
      <w:pPr>
        <w:spacing w:after="0" w:line="240" w:lineRule="auto"/>
      </w:pPr>
      <w:r>
        <w:separator/>
      </w:r>
    </w:p>
  </w:endnote>
  <w:endnote w:type="continuationSeparator" w:id="0">
    <w:p w14:paraId="473F8C9B" w14:textId="77777777" w:rsidR="001F777B" w:rsidRDefault="001F777B" w:rsidP="001F77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arianne">
    <w:panose1 w:val="02000000000000000000"/>
    <w:charset w:val="00"/>
    <w:family w:val="auto"/>
    <w:pitch w:val="variable"/>
    <w:sig w:usb0="0000000F"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78B1FC" w14:textId="0E9AFE68" w:rsidR="001F777B" w:rsidRDefault="001F777B">
    <w:pPr>
      <w:pStyle w:val="Pieddepage"/>
    </w:pPr>
    <w:r>
      <w:t>DRAREIC Nancy-Metz</w:t>
    </w:r>
    <w:r>
      <w:ptab w:relativeTo="margin" w:alignment="center" w:leader="none"/>
    </w:r>
    <w:r w:rsidR="00B423E3">
      <w:t xml:space="preserve">MIRABEEL </w:t>
    </w:r>
    <w:r>
      <w:t>2</w:t>
    </w:r>
    <w:r w:rsidR="00B62D89">
      <w:t>5</w:t>
    </w:r>
    <w:r>
      <w:t>-2</w:t>
    </w:r>
    <w:r w:rsidR="00B62D89">
      <w:t>6</w:t>
    </w:r>
    <w:r>
      <w:ptab w:relativeTo="margin" w:alignment="right" w:leader="none"/>
    </w:r>
    <w:r>
      <w:t>JANVIER 202</w:t>
    </w:r>
    <w:r w:rsidR="00B62D89">
      <w:t>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D57D51" w14:textId="77777777" w:rsidR="001F777B" w:rsidRDefault="001F777B" w:rsidP="001F777B">
      <w:pPr>
        <w:spacing w:after="0" w:line="240" w:lineRule="auto"/>
      </w:pPr>
      <w:r>
        <w:separator/>
      </w:r>
    </w:p>
  </w:footnote>
  <w:footnote w:type="continuationSeparator" w:id="0">
    <w:p w14:paraId="1F50DFCC" w14:textId="77777777" w:rsidR="001F777B" w:rsidRDefault="001F777B" w:rsidP="001F77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847DC"/>
    <w:multiLevelType w:val="multilevel"/>
    <w:tmpl w:val="FE6AE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00F60BA"/>
    <w:multiLevelType w:val="hybridMultilevel"/>
    <w:tmpl w:val="4F70E5F0"/>
    <w:lvl w:ilvl="0" w:tplc="040C000B">
      <w:start w:val="1"/>
      <w:numFmt w:val="bullet"/>
      <w:lvlText w:val=""/>
      <w:lvlJc w:val="left"/>
      <w:pPr>
        <w:ind w:left="765" w:hanging="360"/>
      </w:pPr>
      <w:rPr>
        <w:rFonts w:ascii="Wingdings" w:hAnsi="Wingdings"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2" w15:restartNumberingAfterBreak="0">
    <w:nsid w:val="3A3D6772"/>
    <w:multiLevelType w:val="hybridMultilevel"/>
    <w:tmpl w:val="406E2C98"/>
    <w:lvl w:ilvl="0" w:tplc="F3C8F13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CAC48D3"/>
    <w:multiLevelType w:val="hybridMultilevel"/>
    <w:tmpl w:val="6EC0418E"/>
    <w:lvl w:ilvl="0" w:tplc="F2FC405C">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DD6367C"/>
    <w:multiLevelType w:val="hybridMultilevel"/>
    <w:tmpl w:val="7AC078FA"/>
    <w:lvl w:ilvl="0" w:tplc="34842F5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188452D"/>
    <w:multiLevelType w:val="hybridMultilevel"/>
    <w:tmpl w:val="E104FA64"/>
    <w:lvl w:ilvl="0" w:tplc="51FC8EBA">
      <w:start w:val="18"/>
      <w:numFmt w:val="bullet"/>
      <w:lvlText w:val=""/>
      <w:lvlJc w:val="left"/>
      <w:pPr>
        <w:ind w:left="1068" w:hanging="360"/>
      </w:pPr>
      <w:rPr>
        <w:rFonts w:ascii="Wingdings" w:eastAsiaTheme="minorHAnsi" w:hAnsi="Wingdings" w:cstheme="minorBidi"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3"/>
  </w:num>
  <w:num w:numId="2">
    <w:abstractNumId w:val="5"/>
  </w:num>
  <w:num w:numId="3">
    <w:abstractNumId w:val="4"/>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D43"/>
    <w:rsid w:val="000032F1"/>
    <w:rsid w:val="00030C71"/>
    <w:rsid w:val="00072563"/>
    <w:rsid w:val="00082875"/>
    <w:rsid w:val="000E1419"/>
    <w:rsid w:val="000F255B"/>
    <w:rsid w:val="00116AA3"/>
    <w:rsid w:val="001F777B"/>
    <w:rsid w:val="00263919"/>
    <w:rsid w:val="002B252F"/>
    <w:rsid w:val="00320282"/>
    <w:rsid w:val="00321556"/>
    <w:rsid w:val="00326BA4"/>
    <w:rsid w:val="003766C2"/>
    <w:rsid w:val="004B6847"/>
    <w:rsid w:val="004E1B3D"/>
    <w:rsid w:val="005974E3"/>
    <w:rsid w:val="00651389"/>
    <w:rsid w:val="006D027D"/>
    <w:rsid w:val="007543E7"/>
    <w:rsid w:val="007A2CF6"/>
    <w:rsid w:val="00816123"/>
    <w:rsid w:val="008163D5"/>
    <w:rsid w:val="00845F38"/>
    <w:rsid w:val="00860C17"/>
    <w:rsid w:val="008620E1"/>
    <w:rsid w:val="008E69B6"/>
    <w:rsid w:val="0096435D"/>
    <w:rsid w:val="00991569"/>
    <w:rsid w:val="009B2D88"/>
    <w:rsid w:val="009D76EF"/>
    <w:rsid w:val="00A030C7"/>
    <w:rsid w:val="00A90D43"/>
    <w:rsid w:val="00AC0F91"/>
    <w:rsid w:val="00AD0F06"/>
    <w:rsid w:val="00B26A19"/>
    <w:rsid w:val="00B423E3"/>
    <w:rsid w:val="00B62D89"/>
    <w:rsid w:val="00B87FF8"/>
    <w:rsid w:val="00BB0843"/>
    <w:rsid w:val="00BC281A"/>
    <w:rsid w:val="00C010F3"/>
    <w:rsid w:val="00C11499"/>
    <w:rsid w:val="00C2609A"/>
    <w:rsid w:val="00D0235F"/>
    <w:rsid w:val="00D32909"/>
    <w:rsid w:val="00D56DC5"/>
    <w:rsid w:val="00DA704E"/>
    <w:rsid w:val="00DB0545"/>
    <w:rsid w:val="00DC3785"/>
    <w:rsid w:val="00E658BF"/>
    <w:rsid w:val="00E97BD4"/>
    <w:rsid w:val="00F269E6"/>
    <w:rsid w:val="00FA5E50"/>
    <w:rsid w:val="00FB62E8"/>
    <w:rsid w:val="00FB6320"/>
    <w:rsid w:val="00FE09C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3E68E"/>
  <w15:chartTrackingRefBased/>
  <w15:docId w15:val="{2C8B4752-62CA-45D2-A354-D5539F38B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32F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A90D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DC3785"/>
    <w:pPr>
      <w:ind w:left="720"/>
      <w:contextualSpacing/>
    </w:pPr>
  </w:style>
  <w:style w:type="paragraph" w:styleId="En-tte">
    <w:name w:val="header"/>
    <w:basedOn w:val="Normal"/>
    <w:link w:val="En-tteCar"/>
    <w:uiPriority w:val="99"/>
    <w:unhideWhenUsed/>
    <w:rsid w:val="001F777B"/>
    <w:pPr>
      <w:tabs>
        <w:tab w:val="center" w:pos="4536"/>
        <w:tab w:val="right" w:pos="9072"/>
      </w:tabs>
      <w:spacing w:after="0" w:line="240" w:lineRule="auto"/>
    </w:pPr>
  </w:style>
  <w:style w:type="character" w:customStyle="1" w:styleId="En-tteCar">
    <w:name w:val="En-tête Car"/>
    <w:basedOn w:val="Policepardfaut"/>
    <w:link w:val="En-tte"/>
    <w:uiPriority w:val="99"/>
    <w:rsid w:val="001F777B"/>
  </w:style>
  <w:style w:type="paragraph" w:styleId="Pieddepage">
    <w:name w:val="footer"/>
    <w:basedOn w:val="Normal"/>
    <w:link w:val="PieddepageCar"/>
    <w:uiPriority w:val="99"/>
    <w:unhideWhenUsed/>
    <w:rsid w:val="001F777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F777B"/>
  </w:style>
  <w:style w:type="table" w:customStyle="1" w:styleId="Grilledutableau1">
    <w:name w:val="Grille du tableau1"/>
    <w:basedOn w:val="TableauNormal"/>
    <w:next w:val="Grilledutableau"/>
    <w:uiPriority w:val="39"/>
    <w:rsid w:val="000E14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423E3"/>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5</Pages>
  <Words>1069</Words>
  <Characters>5882</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
    </vt:vector>
  </TitlesOfParts>
  <Company>Recotrat de Nancy-Metz</Company>
  <LinksUpToDate>false</LinksUpToDate>
  <CharactersWithSpaces>6938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dsarrado</dc:creator>
  <cp:keywords/>
  <dc:description/>
  <cp:lastModifiedBy>cziadi</cp:lastModifiedBy>
  <cp:revision>12</cp:revision>
  <cp:lastPrinted>2023-01-04T08:48:00Z</cp:lastPrinted>
  <dcterms:created xsi:type="dcterms:W3CDTF">2024-01-11T14:24:00Z</dcterms:created>
  <dcterms:modified xsi:type="dcterms:W3CDTF">2025-01-07T13:28:00Z</dcterms:modified>
</cp:coreProperties>
</file>