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B81A" w14:textId="77777777" w:rsidR="007332B1" w:rsidRDefault="00332945">
      <w:pPr>
        <w:spacing w:after="0" w:line="259" w:lineRule="auto"/>
        <w:ind w:left="721" w:right="0" w:firstLine="0"/>
        <w:jc w:val="center"/>
      </w:pPr>
      <w:r>
        <w:rPr>
          <w:rFonts w:ascii="Cambria" w:eastAsia="Cambria" w:hAnsi="Cambria" w:cs="Cambria"/>
          <w:b/>
          <w:color w:val="365F91"/>
          <w:sz w:val="28"/>
        </w:rPr>
        <w:t>Charte de prêt du matériel</w:t>
      </w:r>
      <w:r>
        <w:rPr>
          <w:rFonts w:ascii="Cambria" w:eastAsia="Cambria" w:hAnsi="Cambria" w:cs="Cambria"/>
          <w:b/>
          <w:sz w:val="28"/>
        </w:rPr>
        <w:t xml:space="preserve"> </w:t>
      </w:r>
    </w:p>
    <w:p w14:paraId="631B82FA" w14:textId="77777777" w:rsidR="007332B1" w:rsidRDefault="00332945">
      <w:pPr>
        <w:spacing w:after="0" w:line="259" w:lineRule="auto"/>
        <w:ind w:left="0" w:right="0" w:firstLine="0"/>
        <w:jc w:val="left"/>
      </w:pPr>
      <w:r>
        <w:rPr>
          <w:rFonts w:ascii="Cambria" w:eastAsia="Cambria" w:hAnsi="Cambria" w:cs="Cambria"/>
          <w:b/>
        </w:rPr>
        <w:t xml:space="preserve"> </w:t>
      </w:r>
    </w:p>
    <w:tbl>
      <w:tblPr>
        <w:tblStyle w:val="TableGrid"/>
        <w:tblW w:w="10022" w:type="dxa"/>
        <w:tblInd w:w="60" w:type="dxa"/>
        <w:tblCellMar>
          <w:top w:w="41" w:type="dxa"/>
          <w:right w:w="115" w:type="dxa"/>
        </w:tblCellMar>
        <w:tblLook w:val="04A0" w:firstRow="1" w:lastRow="0" w:firstColumn="1" w:lastColumn="0" w:noHBand="0" w:noVBand="1"/>
      </w:tblPr>
      <w:tblGrid>
        <w:gridCol w:w="461"/>
        <w:gridCol w:w="9561"/>
      </w:tblGrid>
      <w:tr w:rsidR="007332B1" w14:paraId="734A5113" w14:textId="77777777">
        <w:trPr>
          <w:trHeight w:val="267"/>
        </w:trPr>
        <w:tc>
          <w:tcPr>
            <w:tcW w:w="461" w:type="dxa"/>
            <w:tcBorders>
              <w:top w:val="nil"/>
              <w:left w:val="nil"/>
              <w:bottom w:val="nil"/>
              <w:right w:val="nil"/>
            </w:tcBorders>
            <w:shd w:val="clear" w:color="auto" w:fill="4F81BD"/>
          </w:tcPr>
          <w:p w14:paraId="317CA03D" w14:textId="77777777" w:rsidR="007332B1" w:rsidRDefault="00332945">
            <w:pPr>
              <w:spacing w:after="0" w:line="259" w:lineRule="auto"/>
              <w:ind w:left="29" w:right="0" w:firstLine="0"/>
              <w:jc w:val="left"/>
            </w:pPr>
            <w:r>
              <w:rPr>
                <w:b/>
                <w:color w:val="FFFFFF"/>
                <w:sz w:val="22"/>
              </w:rPr>
              <w:t xml:space="preserve">1 </w:t>
            </w:r>
          </w:p>
        </w:tc>
        <w:tc>
          <w:tcPr>
            <w:tcW w:w="9561" w:type="dxa"/>
            <w:tcBorders>
              <w:top w:val="nil"/>
              <w:left w:val="nil"/>
              <w:bottom w:val="nil"/>
              <w:right w:val="nil"/>
            </w:tcBorders>
            <w:shd w:val="clear" w:color="auto" w:fill="4F81BD"/>
          </w:tcPr>
          <w:p w14:paraId="151C21D3" w14:textId="77777777" w:rsidR="007332B1" w:rsidRDefault="00332945">
            <w:pPr>
              <w:spacing w:after="0" w:line="259" w:lineRule="auto"/>
              <w:ind w:left="0" w:right="0" w:firstLine="0"/>
              <w:jc w:val="left"/>
            </w:pPr>
            <w:r>
              <w:rPr>
                <w:b/>
                <w:color w:val="FFFFFF"/>
                <w:sz w:val="22"/>
              </w:rPr>
              <w:t>Conditions générales :</w:t>
            </w:r>
            <w:r>
              <w:rPr>
                <w:b/>
                <w:sz w:val="22"/>
              </w:rPr>
              <w:t xml:space="preserve"> </w:t>
            </w:r>
          </w:p>
        </w:tc>
      </w:tr>
    </w:tbl>
    <w:p w14:paraId="0515334D" w14:textId="77777777" w:rsidR="007332B1" w:rsidRDefault="00332945">
      <w:pPr>
        <w:spacing w:after="153" w:line="259" w:lineRule="auto"/>
        <w:ind w:left="0" w:right="0" w:firstLine="0"/>
        <w:jc w:val="left"/>
      </w:pPr>
      <w:r>
        <w:rPr>
          <w:rFonts w:ascii="Cambria" w:eastAsia="Cambria" w:hAnsi="Cambria" w:cs="Cambria"/>
          <w:b/>
        </w:rPr>
        <w:t xml:space="preserve"> </w:t>
      </w:r>
    </w:p>
    <w:p w14:paraId="195DCBF2" w14:textId="44270A86" w:rsidR="007332B1" w:rsidRDefault="00332945">
      <w:pPr>
        <w:numPr>
          <w:ilvl w:val="0"/>
          <w:numId w:val="1"/>
        </w:numPr>
        <w:ind w:right="260" w:hanging="360"/>
      </w:pPr>
      <w:r>
        <w:t xml:space="preserve">Le prêt à l’école du matériel du pôle </w:t>
      </w:r>
      <w:r w:rsidR="0055463C">
        <w:t>s</w:t>
      </w:r>
      <w:r>
        <w:t xml:space="preserve">ciences </w:t>
      </w:r>
      <w:r w:rsidR="0055463C">
        <w:t>Nord Meuse</w:t>
      </w:r>
      <w:r>
        <w:t xml:space="preserve"> est exclusivement réservé aux enseignants du département Meuse. </w:t>
      </w:r>
    </w:p>
    <w:p w14:paraId="3E65B484" w14:textId="1D9FA5E8" w:rsidR="007332B1" w:rsidRDefault="00332945">
      <w:pPr>
        <w:numPr>
          <w:ilvl w:val="0"/>
          <w:numId w:val="1"/>
        </w:numPr>
        <w:spacing w:after="62" w:line="250" w:lineRule="auto"/>
        <w:ind w:right="260" w:hanging="360"/>
      </w:pPr>
      <w:r>
        <w:t xml:space="preserve">Il est soumis à la signature de cette charte de prêt plaçant le matériel sous la responsabilité de l’emprunteur jusqu’à sa restitution au pôle </w:t>
      </w:r>
      <w:r w:rsidR="0055463C">
        <w:t>sciences Nord Meuse</w:t>
      </w:r>
      <w:r>
        <w:t xml:space="preserve">. </w:t>
      </w:r>
      <w:r>
        <w:rPr>
          <w:b/>
          <w:color w:val="FFFFFF"/>
          <w:sz w:val="22"/>
        </w:rPr>
        <w:t>Modalités de prêt :</w:t>
      </w:r>
      <w:r>
        <w:t xml:space="preserve"> </w:t>
      </w:r>
    </w:p>
    <w:p w14:paraId="5ECB0F3B" w14:textId="77777777" w:rsidR="007332B1" w:rsidRDefault="00332945">
      <w:pPr>
        <w:shd w:val="clear" w:color="auto" w:fill="4F81BD"/>
        <w:tabs>
          <w:tab w:val="center" w:pos="1591"/>
        </w:tabs>
        <w:spacing w:after="0" w:line="259" w:lineRule="auto"/>
        <w:ind w:left="89" w:right="0" w:firstLine="0"/>
        <w:jc w:val="left"/>
      </w:pPr>
      <w:r>
        <w:t xml:space="preserve"> </w:t>
      </w:r>
      <w:r>
        <w:tab/>
      </w:r>
      <w:r>
        <w:rPr>
          <w:b/>
          <w:color w:val="FFFFFF"/>
          <w:sz w:val="22"/>
        </w:rPr>
        <w:t>2 Modalités de prêt :</w:t>
      </w:r>
      <w:r>
        <w:rPr>
          <w:b/>
          <w:sz w:val="22"/>
        </w:rPr>
        <w:t xml:space="preserve"> </w:t>
      </w:r>
    </w:p>
    <w:p w14:paraId="2F143E20" w14:textId="77777777" w:rsidR="007332B1" w:rsidRDefault="00332945">
      <w:pPr>
        <w:spacing w:after="149" w:line="259" w:lineRule="auto"/>
        <w:ind w:left="0" w:right="0" w:firstLine="0"/>
        <w:jc w:val="left"/>
      </w:pPr>
      <w:r>
        <w:t xml:space="preserve"> </w:t>
      </w:r>
    </w:p>
    <w:p w14:paraId="36A0167C" w14:textId="77777777" w:rsidR="007332B1" w:rsidRDefault="00332945">
      <w:pPr>
        <w:numPr>
          <w:ilvl w:val="0"/>
          <w:numId w:val="2"/>
        </w:numPr>
        <w:spacing w:after="62" w:line="250" w:lineRule="auto"/>
        <w:ind w:left="923" w:right="174" w:hanging="362"/>
      </w:pPr>
      <w:r>
        <w:t xml:space="preserve">Le prêt s’effectue sur le site d’emprunt suivant  </w:t>
      </w:r>
    </w:p>
    <w:p w14:paraId="54507285" w14:textId="77777777" w:rsidR="0055463C" w:rsidRDefault="0055463C" w:rsidP="0055463C">
      <w:pPr>
        <w:numPr>
          <w:ilvl w:val="1"/>
          <w:numId w:val="2"/>
        </w:numPr>
        <w:ind w:right="174"/>
      </w:pPr>
      <w:r>
        <w:t xml:space="preserve">IEN de Verdun </w:t>
      </w:r>
    </w:p>
    <w:p w14:paraId="21F101BC" w14:textId="462353BE" w:rsidR="0055463C" w:rsidRDefault="0055463C" w:rsidP="0055463C">
      <w:pPr>
        <w:numPr>
          <w:ilvl w:val="2"/>
          <w:numId w:val="2"/>
        </w:numPr>
        <w:ind w:right="174"/>
      </w:pPr>
      <w:r>
        <w:t>Adresse : Espace Driant – Bât 1 - Rue Saint-Michel - 55100 VERDUN</w:t>
      </w:r>
    </w:p>
    <w:p w14:paraId="35DC43E4" w14:textId="77777777" w:rsidR="0055463C" w:rsidRDefault="0055463C" w:rsidP="0055463C">
      <w:pPr>
        <w:numPr>
          <w:ilvl w:val="2"/>
          <w:numId w:val="2"/>
        </w:numPr>
        <w:ind w:right="174"/>
      </w:pPr>
      <w:r>
        <w:t>Tél. : 03 29 86 07 25</w:t>
      </w:r>
    </w:p>
    <w:p w14:paraId="368B6A1D" w14:textId="2D029443" w:rsidR="007332B1" w:rsidRDefault="0055463C" w:rsidP="0055463C">
      <w:pPr>
        <w:numPr>
          <w:ilvl w:val="2"/>
          <w:numId w:val="2"/>
        </w:numPr>
        <w:ind w:right="174" w:hanging="360"/>
      </w:pPr>
      <w:r>
        <w:t xml:space="preserve">Courriel : </w:t>
      </w:r>
      <w:hyperlink r:id="rId5" w:history="1">
        <w:r w:rsidRPr="006F0BC0">
          <w:rPr>
            <w:rStyle w:val="Lienhypertexte"/>
          </w:rPr>
          <w:t>ce.ien-ver55@ac-nancy-metz.fr</w:t>
        </w:r>
      </w:hyperlink>
      <w:r>
        <w:t xml:space="preserve"> </w:t>
      </w:r>
    </w:p>
    <w:p w14:paraId="54E05426" w14:textId="77777777" w:rsidR="007332B1" w:rsidRDefault="00332945">
      <w:pPr>
        <w:numPr>
          <w:ilvl w:val="0"/>
          <w:numId w:val="2"/>
        </w:numPr>
        <w:ind w:left="923" w:right="174" w:hanging="362"/>
      </w:pPr>
      <w:r>
        <w:t xml:space="preserve">La durée du prêt est fixée à 7 jours minimum et 42 jours maximum. Il court à compter de la date d’emprunt. </w:t>
      </w:r>
    </w:p>
    <w:p w14:paraId="3D091C88" w14:textId="77777777" w:rsidR="007332B1" w:rsidRDefault="00332945">
      <w:pPr>
        <w:numPr>
          <w:ilvl w:val="0"/>
          <w:numId w:val="2"/>
        </w:numPr>
        <w:ind w:left="923" w:right="174" w:hanging="362"/>
      </w:pPr>
      <w:r>
        <w:t xml:space="preserve">Le prêt de matériel n'est pas de droit. L’administrateur se réserve le droit de refuser une demande de prêt dans les cas suivants : négligence constatée lors d'un précédent prêt ou prêts en cours en retard. </w:t>
      </w:r>
    </w:p>
    <w:p w14:paraId="4D362ADF" w14:textId="77777777" w:rsidR="007332B1" w:rsidRDefault="00332945">
      <w:pPr>
        <w:numPr>
          <w:ilvl w:val="0"/>
          <w:numId w:val="2"/>
        </w:numPr>
        <w:spacing w:after="62"/>
        <w:ind w:left="923" w:right="174" w:hanging="362"/>
      </w:pPr>
      <w:r>
        <w:rPr>
          <w:noProof/>
          <w:lang w:bidi="ar-SA"/>
        </w:rPr>
        <w:drawing>
          <wp:anchor distT="0" distB="0" distL="114300" distR="114300" simplePos="0" relativeHeight="251658240" behindDoc="0" locked="0" layoutInCell="1" allowOverlap="0" wp14:anchorId="331B1EA0" wp14:editId="32729C5E">
            <wp:simplePos x="0" y="0"/>
            <wp:positionH relativeFrom="page">
              <wp:posOffset>464185</wp:posOffset>
            </wp:positionH>
            <wp:positionV relativeFrom="page">
              <wp:posOffset>156845</wp:posOffset>
            </wp:positionV>
            <wp:extent cx="2260600" cy="711200"/>
            <wp:effectExtent l="0" t="0" r="0" b="0"/>
            <wp:wrapSquare wrapText="bothSides"/>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6"/>
                    <a:stretch>
                      <a:fillRect/>
                    </a:stretch>
                  </pic:blipFill>
                  <pic:spPr>
                    <a:xfrm>
                      <a:off x="0" y="0"/>
                      <a:ext cx="2260600" cy="711200"/>
                    </a:xfrm>
                    <a:prstGeom prst="rect">
                      <a:avLst/>
                    </a:prstGeom>
                  </pic:spPr>
                </pic:pic>
              </a:graphicData>
            </a:graphic>
          </wp:anchor>
        </w:drawing>
      </w:r>
      <w:r>
        <w:t xml:space="preserve">En cas de problème, contacter le pôle concerné. </w:t>
      </w:r>
    </w:p>
    <w:p w14:paraId="321790BE" w14:textId="77777777" w:rsidR="007332B1" w:rsidRDefault="00332945">
      <w:pPr>
        <w:numPr>
          <w:ilvl w:val="0"/>
          <w:numId w:val="2"/>
        </w:numPr>
        <w:ind w:left="923" w:right="174" w:hanging="362"/>
      </w:pPr>
      <w:r>
        <w:t xml:space="preserve">Lors de la remise du matériel, celui-ci est réputé être complet et en bon état de fonctionnement. L’emprunteur s’engage à ce qu’il le soit lors de son retour au pôle. Un état des lieux du matériel mis à disposition sera établi et signé par l’emprunteur et par l’administrateur du pole. </w:t>
      </w:r>
    </w:p>
    <w:p w14:paraId="4D1899CC" w14:textId="77777777" w:rsidR="007332B1" w:rsidRDefault="00332945">
      <w:pPr>
        <w:numPr>
          <w:ilvl w:val="0"/>
          <w:numId w:val="2"/>
        </w:numPr>
        <w:spacing w:after="106" w:line="250" w:lineRule="auto"/>
        <w:ind w:left="923" w:right="174" w:hanging="362"/>
      </w:pPr>
      <w:r>
        <w:t xml:space="preserve">Tout matériel faisant objet de dysfonctionnement ou ayant fait l’objet de dégradations devra être systématiquement signalé. L’administrateur du pole vous informera des modalités de remplacement ou de renouvellement du matériel. </w:t>
      </w:r>
    </w:p>
    <w:p w14:paraId="43D0F99B" w14:textId="77777777" w:rsidR="007332B1" w:rsidRDefault="00332945">
      <w:pPr>
        <w:numPr>
          <w:ilvl w:val="0"/>
          <w:numId w:val="2"/>
        </w:numPr>
        <w:ind w:left="923" w:right="174" w:hanging="362"/>
      </w:pPr>
      <w:r>
        <w:t xml:space="preserve">L'emprunteur déclare savoir l'utiliser et, à défaut, l'utiliser conformément à sa destination. </w:t>
      </w:r>
    </w:p>
    <w:p w14:paraId="430488A0" w14:textId="77777777" w:rsidR="007332B1" w:rsidRDefault="00332945">
      <w:pPr>
        <w:numPr>
          <w:ilvl w:val="0"/>
          <w:numId w:val="2"/>
        </w:numPr>
        <w:ind w:left="923" w:right="174" w:hanging="362"/>
      </w:pPr>
      <w:r>
        <w:t xml:space="preserve">Le prêt est individuel et engage la seule responsabilité de l'emprunteur. (Il ne peut transiter entre les écoles.) </w:t>
      </w:r>
    </w:p>
    <w:p w14:paraId="1FFA2962" w14:textId="77777777" w:rsidR="007332B1" w:rsidRDefault="00332945">
      <w:pPr>
        <w:numPr>
          <w:ilvl w:val="0"/>
          <w:numId w:val="2"/>
        </w:numPr>
        <w:spacing w:after="160" w:line="250" w:lineRule="auto"/>
        <w:ind w:left="923" w:right="174" w:hanging="362"/>
      </w:pPr>
      <w:r>
        <w:t xml:space="preserve">L’emprunteur est personnellement et juridiquement responsable de l’usage qui sera fait du matériel et des dommages occasionnés. </w:t>
      </w:r>
    </w:p>
    <w:p w14:paraId="5B126479" w14:textId="77777777" w:rsidR="007332B1" w:rsidRDefault="00332945">
      <w:pPr>
        <w:numPr>
          <w:ilvl w:val="0"/>
          <w:numId w:val="2"/>
        </w:numPr>
        <w:spacing w:after="115" w:line="250" w:lineRule="auto"/>
        <w:ind w:left="923" w:right="174" w:hanging="362"/>
      </w:pPr>
      <w:r>
        <w:t xml:space="preserve">Il est préférable que l’emprunteur vienne chercher et rapporter le matériel emprunté. Sinon il le confiera à un membre de l’équipe de sa circonscription (conseiller pédagogique, ERUN ou IEN) à qui il délèguera sa responsabilité pour l’état des lieux. </w:t>
      </w:r>
    </w:p>
    <w:p w14:paraId="6BA567EC" w14:textId="77777777" w:rsidR="007332B1" w:rsidRDefault="00332945">
      <w:pPr>
        <w:numPr>
          <w:ilvl w:val="0"/>
          <w:numId w:val="2"/>
        </w:numPr>
        <w:spacing w:after="29"/>
        <w:ind w:left="923" w:right="174" w:hanging="362"/>
      </w:pPr>
      <w:r>
        <w:t xml:space="preserve">En cas de non-restitution du matériel, quelle qu’en soit la cause, l’emprunteur sera suspendu de prêt de matériel pendant une durée égale au nombre de jours de retard. Il pourra être même exclu du dispositif de prêt si la situation venait à se répéter. </w:t>
      </w:r>
    </w:p>
    <w:p w14:paraId="4390AD23" w14:textId="77777777" w:rsidR="007332B1" w:rsidRDefault="00332945">
      <w:pPr>
        <w:spacing w:after="93" w:line="259" w:lineRule="auto"/>
        <w:ind w:left="576" w:right="0" w:firstLine="0"/>
        <w:jc w:val="left"/>
      </w:pPr>
      <w:r>
        <w:t xml:space="preserve"> </w:t>
      </w:r>
    </w:p>
    <w:p w14:paraId="204F00D7" w14:textId="77777777" w:rsidR="007332B1" w:rsidRDefault="00332945">
      <w:pPr>
        <w:shd w:val="clear" w:color="auto" w:fill="4F81BD"/>
        <w:spacing w:after="0" w:line="259" w:lineRule="auto"/>
        <w:ind w:left="576" w:right="0" w:firstLine="0"/>
        <w:jc w:val="left"/>
      </w:pPr>
      <w:r>
        <w:rPr>
          <w:b/>
          <w:color w:val="FFFFFF"/>
          <w:sz w:val="22"/>
        </w:rPr>
        <w:t>3  Engagement de l’emprunteur :</w:t>
      </w:r>
      <w:r>
        <w:rPr>
          <w:b/>
          <w:sz w:val="22"/>
        </w:rPr>
        <w:t xml:space="preserve"> </w:t>
      </w:r>
    </w:p>
    <w:p w14:paraId="11E00BE1" w14:textId="77777777" w:rsidR="007332B1" w:rsidRDefault="00332945">
      <w:pPr>
        <w:spacing w:after="54" w:line="259" w:lineRule="auto"/>
        <w:ind w:left="0" w:right="0" w:firstLine="0"/>
        <w:jc w:val="left"/>
      </w:pPr>
      <w:r>
        <w:t xml:space="preserve"> </w:t>
      </w:r>
    </w:p>
    <w:p w14:paraId="5B346D0F" w14:textId="77777777" w:rsidR="007332B1" w:rsidRDefault="00332945">
      <w:pPr>
        <w:spacing w:after="62" w:line="250" w:lineRule="auto"/>
        <w:ind w:right="0" w:hanging="10"/>
      </w:pPr>
      <w:r>
        <w:t xml:space="preserve">Par la signature du présent document, l’emprunteur reconnaît avoir pris connaissance des modalités de prêt et s’engage au respect de cette charte.  </w:t>
      </w:r>
    </w:p>
    <w:p w14:paraId="0548CCBE" w14:textId="77777777" w:rsidR="007332B1" w:rsidRDefault="00332945">
      <w:pPr>
        <w:spacing w:after="55" w:line="259" w:lineRule="auto"/>
        <w:ind w:left="0" w:right="0" w:firstLine="0"/>
        <w:jc w:val="left"/>
      </w:pPr>
      <w:r>
        <w:t xml:space="preserve"> </w:t>
      </w:r>
    </w:p>
    <w:p w14:paraId="54E344E7" w14:textId="17245CC4" w:rsidR="007332B1" w:rsidRDefault="001C569F">
      <w:pPr>
        <w:spacing w:after="62" w:line="250" w:lineRule="auto"/>
        <w:ind w:right="0" w:hanging="10"/>
      </w:pPr>
      <w:r>
        <w:t xml:space="preserve">Fait </w:t>
      </w:r>
      <w:proofErr w:type="gramStart"/>
      <w:r>
        <w:t xml:space="preserve">le  </w:t>
      </w:r>
      <w:r w:rsidR="00D21DBC">
        <w:t>…</w:t>
      </w:r>
      <w:proofErr w:type="gramEnd"/>
      <w:r w:rsidR="00D21DBC">
        <w:t>……………………….</w:t>
      </w:r>
      <w:r w:rsidR="00332945">
        <w:t xml:space="preserve"> à </w:t>
      </w:r>
      <w:r w:rsidR="00D21DBC">
        <w:t>………………………………………………..</w:t>
      </w:r>
      <w:r w:rsidR="00332945">
        <w:t xml:space="preserve">                  </w:t>
      </w:r>
    </w:p>
    <w:p w14:paraId="124F635D" w14:textId="77777777" w:rsidR="00D21DBC" w:rsidRDefault="00D21DBC" w:rsidP="00332945">
      <w:pPr>
        <w:ind w:left="936" w:right="174" w:firstLine="0"/>
      </w:pPr>
    </w:p>
    <w:p w14:paraId="046DB53B" w14:textId="0AA3AA73" w:rsidR="00332945" w:rsidRDefault="00332945" w:rsidP="00D21DBC">
      <w:pPr>
        <w:ind w:left="936" w:right="174" w:firstLine="0"/>
        <w:jc w:val="center"/>
      </w:pPr>
      <w:r>
        <w:t>Signature de l’emprunteur (précédée de la mention « Lu et approuvé ») :</w:t>
      </w:r>
    </w:p>
    <w:p w14:paraId="331C08BC" w14:textId="43CEB214" w:rsidR="00332945" w:rsidRDefault="00332945" w:rsidP="00D21DBC">
      <w:pPr>
        <w:ind w:left="936" w:right="174" w:firstLine="0"/>
        <w:jc w:val="center"/>
      </w:pPr>
      <w:r>
        <w:t>Lu et approuvé</w:t>
      </w:r>
    </w:p>
    <w:sectPr w:rsidR="00332945" w:rsidSect="00D64673">
      <w:pgSz w:w="11911" w:h="1684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1E45"/>
    <w:multiLevelType w:val="hybridMultilevel"/>
    <w:tmpl w:val="FFA29D32"/>
    <w:lvl w:ilvl="0" w:tplc="0A5E1A2A">
      <w:start w:val="1"/>
      <w:numFmt w:val="bullet"/>
      <w:lvlText w:val="•"/>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87356">
      <w:start w:val="1"/>
      <w:numFmt w:val="bullet"/>
      <w:lvlText w:val="-"/>
      <w:lvlJc w:val="left"/>
      <w:pPr>
        <w:ind w:left="1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66F616">
      <w:start w:val="1"/>
      <w:numFmt w:val="bullet"/>
      <w:lvlText w:val="▪"/>
      <w:lvlJc w:val="left"/>
      <w:pPr>
        <w:ind w:left="2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A47AD8">
      <w:start w:val="1"/>
      <w:numFmt w:val="bullet"/>
      <w:lvlText w:val="•"/>
      <w:lvlJc w:val="left"/>
      <w:pPr>
        <w:ind w:left="3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B27E22">
      <w:start w:val="1"/>
      <w:numFmt w:val="bullet"/>
      <w:lvlText w:val="o"/>
      <w:lvlJc w:val="left"/>
      <w:pPr>
        <w:ind w:left="4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A6DB3A">
      <w:start w:val="1"/>
      <w:numFmt w:val="bullet"/>
      <w:lvlText w:val="▪"/>
      <w:lvlJc w:val="left"/>
      <w:pPr>
        <w:ind w:left="4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2A96E">
      <w:start w:val="1"/>
      <w:numFmt w:val="bullet"/>
      <w:lvlText w:val="•"/>
      <w:lvlJc w:val="left"/>
      <w:pPr>
        <w:ind w:left="5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C61AC6">
      <w:start w:val="1"/>
      <w:numFmt w:val="bullet"/>
      <w:lvlText w:val="o"/>
      <w:lvlJc w:val="left"/>
      <w:pPr>
        <w:ind w:left="6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5A0D50">
      <w:start w:val="1"/>
      <w:numFmt w:val="bullet"/>
      <w:lvlText w:val="▪"/>
      <w:lvlJc w:val="left"/>
      <w:pPr>
        <w:ind w:left="6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5B379F"/>
    <w:multiLevelType w:val="hybridMultilevel"/>
    <w:tmpl w:val="31143F46"/>
    <w:lvl w:ilvl="0" w:tplc="BDC85410">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AD780">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1CB944">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980F40">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F27E">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E5ACE">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A25C62">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ACC0E">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7A2BA2">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3327506">
    <w:abstractNumId w:val="1"/>
  </w:num>
  <w:num w:numId="2" w16cid:durableId="138336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B1"/>
    <w:rsid w:val="0003734C"/>
    <w:rsid w:val="001C569F"/>
    <w:rsid w:val="00332945"/>
    <w:rsid w:val="003F769F"/>
    <w:rsid w:val="0055463C"/>
    <w:rsid w:val="007332B1"/>
    <w:rsid w:val="007351EF"/>
    <w:rsid w:val="008B0F60"/>
    <w:rsid w:val="00D21DBC"/>
    <w:rsid w:val="00D64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1555"/>
  <w15:docId w15:val="{3CA6F14B-1551-364C-8ED8-0F818608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4" w:line="271" w:lineRule="auto"/>
      <w:ind w:left="946" w:right="113" w:hanging="370"/>
      <w:jc w:val="both"/>
    </w:pPr>
    <w:rPr>
      <w:rFonts w:ascii="Calibri" w:eastAsia="Calibri" w:hAnsi="Calibri" w:cs="Calibri"/>
      <w:color w:val="000000"/>
      <w:sz w:val="20"/>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55463C"/>
    <w:rPr>
      <w:color w:val="467886" w:themeColor="hyperlink"/>
      <w:u w:val="single"/>
    </w:rPr>
  </w:style>
  <w:style w:type="character" w:customStyle="1" w:styleId="Mentionnonrsolue1">
    <w:name w:val="Mention non résolue1"/>
    <w:basedOn w:val="Policepardfaut"/>
    <w:uiPriority w:val="99"/>
    <w:semiHidden/>
    <w:unhideWhenUsed/>
    <w:rsid w:val="00554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ce.ien-ver55@ac-nancy-metz.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2294</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cpdtice55</dc:creator>
  <cp:keywords/>
  <cp:lastModifiedBy>Jean Michel Arroyas</cp:lastModifiedBy>
  <cp:revision>2</cp:revision>
  <dcterms:created xsi:type="dcterms:W3CDTF">2025-07-08T12:46:00Z</dcterms:created>
  <dcterms:modified xsi:type="dcterms:W3CDTF">2025-07-08T12:46:00Z</dcterms:modified>
</cp:coreProperties>
</file>