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B1EB" w14:textId="054969CD" w:rsidR="00DE2971" w:rsidRPr="00531BDD" w:rsidRDefault="00DE2971" w:rsidP="00DE2971">
      <w:pPr>
        <w:pStyle w:val="Titre"/>
        <w:jc w:val="center"/>
        <w:rPr>
          <w:rFonts w:eastAsia="Times New Roman"/>
          <w:lang w:eastAsia="fr-FR"/>
        </w:rPr>
      </w:pPr>
      <w:r w:rsidRPr="00531BDD">
        <w:rPr>
          <w:rFonts w:eastAsia="Times New Roman"/>
          <w:lang w:eastAsia="fr-FR"/>
        </w:rPr>
        <w:t>OPEPS</w:t>
      </w:r>
      <w:r w:rsidR="00A95270">
        <w:rPr>
          <w:rFonts w:eastAsia="Times New Roman"/>
          <w:lang w:eastAsia="fr-FR"/>
        </w:rPr>
        <w:t xml:space="preserve"> version </w:t>
      </w:r>
      <w:r w:rsidR="00546CED">
        <w:rPr>
          <w:rFonts w:eastAsia="Times New Roman"/>
          <w:lang w:eastAsia="fr-FR"/>
        </w:rPr>
        <w:t>3</w:t>
      </w:r>
    </w:p>
    <w:p w14:paraId="7AAE3525" w14:textId="77777777" w:rsidR="00DE2971" w:rsidRPr="00531BDD" w:rsidRDefault="00DE2971" w:rsidP="00DE2971">
      <w:pPr>
        <w:pStyle w:val="Sous-titre"/>
        <w:jc w:val="center"/>
        <w:rPr>
          <w:rFonts w:eastAsia="Times New Roman"/>
          <w:b/>
          <w:sz w:val="28"/>
          <w:lang w:eastAsia="fr-FR"/>
        </w:rPr>
      </w:pPr>
      <w:r w:rsidRPr="00531BDD">
        <w:rPr>
          <w:rFonts w:eastAsia="Times New Roman"/>
          <w:b/>
          <w:sz w:val="28"/>
          <w:lang w:eastAsia="fr-FR"/>
        </w:rPr>
        <w:t>O</w:t>
      </w:r>
      <w:r w:rsidRPr="00531BDD">
        <w:rPr>
          <w:rFonts w:eastAsia="Times New Roman"/>
          <w:sz w:val="28"/>
          <w:lang w:eastAsia="fr-FR"/>
        </w:rPr>
        <w:t xml:space="preserve">rganisation </w:t>
      </w:r>
      <w:r w:rsidRPr="00531BDD">
        <w:rPr>
          <w:rFonts w:eastAsia="Times New Roman"/>
          <w:b/>
          <w:sz w:val="28"/>
          <w:lang w:eastAsia="fr-FR"/>
        </w:rPr>
        <w:t>P</w:t>
      </w:r>
      <w:r w:rsidRPr="00531BDD">
        <w:rPr>
          <w:rFonts w:eastAsia="Times New Roman"/>
          <w:sz w:val="28"/>
          <w:lang w:eastAsia="fr-FR"/>
        </w:rPr>
        <w:t>édagogique de l’</w:t>
      </w:r>
      <w:r w:rsidRPr="00531BDD">
        <w:rPr>
          <w:rFonts w:eastAsia="Times New Roman"/>
          <w:b/>
          <w:sz w:val="28"/>
          <w:lang w:eastAsia="fr-FR"/>
        </w:rPr>
        <w:t>EPS</w:t>
      </w:r>
    </w:p>
    <w:p w14:paraId="0839D62A" w14:textId="77777777" w:rsidR="00DE2971" w:rsidRPr="00531BDD" w:rsidRDefault="00324734" w:rsidP="00DE2971">
      <w:pPr>
        <w:pStyle w:val="Sous-titre"/>
        <w:jc w:val="center"/>
        <w:rPr>
          <w:sz w:val="28"/>
          <w:lang w:eastAsia="fr-FR"/>
        </w:rPr>
      </w:pPr>
      <w:r>
        <w:rPr>
          <w:sz w:val="28"/>
          <w:lang w:eastAsia="fr-FR"/>
        </w:rPr>
        <w:t>Académie de N</w:t>
      </w:r>
      <w:r w:rsidR="00DE2971" w:rsidRPr="00531BDD">
        <w:rPr>
          <w:sz w:val="28"/>
          <w:lang w:eastAsia="fr-FR"/>
        </w:rPr>
        <w:t>ancy-Metz</w:t>
      </w:r>
    </w:p>
    <w:p w14:paraId="2DD9B757" w14:textId="77777777" w:rsidR="00DE2971" w:rsidRDefault="00DE2971" w:rsidP="00DE2971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La chronolgie des opérations :</w:t>
      </w:r>
    </w:p>
    <w:p w14:paraId="7DC4019B" w14:textId="5C5DE346" w:rsidR="00546CED" w:rsidRPr="00973490" w:rsidRDefault="00546CED" w:rsidP="00546CED">
      <w:pPr>
        <w:ind w:left="-709" w:right="-569"/>
        <w:rPr>
          <w:sz w:val="20"/>
          <w:lang w:eastAsia="fr-FR"/>
        </w:rPr>
      </w:pPr>
      <w:r>
        <w:rPr>
          <w:sz w:val="20"/>
          <w:lang w:eastAsia="fr-FR"/>
        </w:rPr>
        <w:t>Il est recommandé d’effectuer l</w:t>
      </w:r>
      <w:r w:rsidRPr="00973490">
        <w:rPr>
          <w:sz w:val="20"/>
          <w:lang w:eastAsia="fr-FR"/>
        </w:rPr>
        <w:t xml:space="preserve">es </w:t>
      </w:r>
      <w:r>
        <w:rPr>
          <w:sz w:val="20"/>
          <w:lang w:eastAsia="fr-FR"/>
        </w:rPr>
        <w:t xml:space="preserve">diverses </w:t>
      </w:r>
      <w:r w:rsidRPr="00973490">
        <w:rPr>
          <w:sz w:val="20"/>
          <w:lang w:eastAsia="fr-FR"/>
        </w:rPr>
        <w:t xml:space="preserve">opérations avec OPEPS </w:t>
      </w:r>
      <w:r>
        <w:rPr>
          <w:sz w:val="20"/>
          <w:lang w:eastAsia="fr-FR"/>
        </w:rPr>
        <w:t xml:space="preserve">en veillant bien à </w:t>
      </w:r>
      <w:r w:rsidRPr="00973490">
        <w:rPr>
          <w:sz w:val="20"/>
          <w:lang w:eastAsia="fr-FR"/>
        </w:rPr>
        <w:t>respecter une certaine chronologie, gage d’efficacité.</w:t>
      </w:r>
      <w:r>
        <w:rPr>
          <w:sz w:val="20"/>
          <w:lang w:eastAsia="fr-FR"/>
        </w:rPr>
        <w:br/>
      </w:r>
      <w:r w:rsidRPr="005B40CC">
        <w:rPr>
          <w:sz w:val="20"/>
          <w:u w:val="single"/>
          <w:lang w:eastAsia="fr-FR"/>
        </w:rPr>
        <w:t>Il est possible de « récupérer » des informations pérennes saisies dans OPEPS l’année précédente pour éviter une nouvelle saisie complète à chaque rentrée</w:t>
      </w:r>
      <w:r w:rsidRPr="005B40CC">
        <w:rPr>
          <w:sz w:val="20"/>
          <w:lang w:eastAsia="fr-FR"/>
        </w:rPr>
        <w:t>. Bouton « </w:t>
      </w:r>
      <w:r w:rsidRPr="005B40CC">
        <w:rPr>
          <w:color w:val="FF0000"/>
          <w:sz w:val="20"/>
          <w:lang w:eastAsia="fr-FR"/>
        </w:rPr>
        <w:t>Récupérer les données d’une ancienne version</w:t>
      </w:r>
      <w:r w:rsidRPr="005B40CC">
        <w:rPr>
          <w:sz w:val="20"/>
          <w:lang w:eastAsia="fr-FR"/>
        </w:rPr>
        <w:t xml:space="preserve"> », puis sélectionner </w:t>
      </w:r>
      <w:r w:rsidRPr="005B40CC">
        <w:rPr>
          <w:color w:val="FF0000"/>
          <w:sz w:val="20"/>
          <w:lang w:eastAsia="fr-FR"/>
        </w:rPr>
        <w:t>les informations générales que vous souhaitez importer</w:t>
      </w:r>
      <w:r w:rsidRPr="005B40CC">
        <w:rPr>
          <w:sz w:val="20"/>
          <w:lang w:eastAsia="fr-FR"/>
        </w:rPr>
        <w:t xml:space="preserve"> (phase 1)</w:t>
      </w:r>
      <w:r>
        <w:rPr>
          <w:sz w:val="20"/>
          <w:lang w:eastAsia="fr-FR"/>
        </w:rPr>
        <w:t xml:space="preserve"> en cochant les cases appropriées (</w:t>
      </w:r>
      <w:r w:rsidRPr="0014391D">
        <w:rPr>
          <w:b/>
          <w:color w:val="FF0000"/>
          <w:sz w:val="20"/>
          <w:lang w:eastAsia="fr-FR"/>
        </w:rPr>
        <w:t xml:space="preserve">voir </w:t>
      </w:r>
      <w:r>
        <w:rPr>
          <w:b/>
          <w:color w:val="FF0000"/>
          <w:sz w:val="20"/>
          <w:lang w:eastAsia="fr-FR"/>
        </w:rPr>
        <w:t xml:space="preserve">la </w:t>
      </w:r>
      <w:r w:rsidRPr="0014391D">
        <w:rPr>
          <w:b/>
          <w:color w:val="FF0000"/>
          <w:sz w:val="20"/>
          <w:lang w:eastAsia="fr-FR"/>
        </w:rPr>
        <w:t xml:space="preserve">page </w:t>
      </w:r>
      <w:r>
        <w:rPr>
          <w:b/>
          <w:color w:val="FF0000"/>
          <w:sz w:val="20"/>
          <w:lang w:eastAsia="fr-FR"/>
        </w:rPr>
        <w:t>3</w:t>
      </w:r>
      <w:r w:rsidRPr="0014391D">
        <w:rPr>
          <w:b/>
          <w:color w:val="FF0000"/>
          <w:sz w:val="20"/>
          <w:lang w:eastAsia="fr-FR"/>
        </w:rPr>
        <w:t>3</w:t>
      </w:r>
      <w:r>
        <w:rPr>
          <w:b/>
          <w:color w:val="FF0000"/>
          <w:sz w:val="20"/>
          <w:lang w:eastAsia="fr-FR"/>
        </w:rPr>
        <w:t xml:space="preserve"> du tutoriel</w:t>
      </w:r>
      <w:r>
        <w:rPr>
          <w:sz w:val="20"/>
          <w:lang w:eastAsia="fr-FR"/>
        </w:rPr>
        <w:t>).</w:t>
      </w:r>
      <w:r>
        <w:rPr>
          <w:sz w:val="20"/>
          <w:lang w:eastAsia="fr-FR"/>
        </w:rPr>
        <w:br/>
      </w:r>
      <w:r w:rsidRPr="00973490">
        <w:rPr>
          <w:sz w:val="20"/>
          <w:lang w:eastAsia="fr-FR"/>
        </w:rPr>
        <w:t xml:space="preserve">Vous pouvez bien entendu déroger à cette recomandation mais cela </w:t>
      </w:r>
      <w:r>
        <w:rPr>
          <w:sz w:val="20"/>
          <w:lang w:eastAsia="fr-FR"/>
        </w:rPr>
        <w:t>risque d’</w:t>
      </w:r>
      <w:r w:rsidRPr="00973490">
        <w:rPr>
          <w:sz w:val="20"/>
          <w:lang w:eastAsia="fr-FR"/>
        </w:rPr>
        <w:t>engendrer</w:t>
      </w:r>
      <w:r>
        <w:rPr>
          <w:sz w:val="20"/>
          <w:lang w:eastAsia="fr-FR"/>
        </w:rPr>
        <w:t xml:space="preserve"> une perte de temps et </w:t>
      </w:r>
      <w:r w:rsidRPr="00973490">
        <w:rPr>
          <w:sz w:val="20"/>
          <w:lang w:eastAsia="fr-FR"/>
        </w:rPr>
        <w:t>de devoir recommencer si une étape est « oubliée » !</w:t>
      </w:r>
    </w:p>
    <w:p w14:paraId="0E96C05C" w14:textId="77777777" w:rsidR="00DE2971" w:rsidRPr="00AA477E" w:rsidRDefault="00DE2971" w:rsidP="00DE2971">
      <w:pPr>
        <w:rPr>
          <w:b/>
          <w:sz w:val="32"/>
          <w:lang w:eastAsia="fr-FR"/>
        </w:rPr>
      </w:pPr>
      <w:r w:rsidRPr="00AA477E">
        <w:rPr>
          <w:b/>
          <w:sz w:val="32"/>
          <w:lang w:eastAsia="fr-FR"/>
        </w:rPr>
        <w:t>Check</w:t>
      </w:r>
      <w:r>
        <w:rPr>
          <w:b/>
          <w:sz w:val="32"/>
          <w:lang w:eastAsia="fr-FR"/>
        </w:rPr>
        <w:t>-</w:t>
      </w:r>
      <w:r w:rsidRPr="00AA477E">
        <w:rPr>
          <w:b/>
          <w:sz w:val="32"/>
          <w:lang w:eastAsia="fr-FR"/>
        </w:rPr>
        <w:t>list :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8648"/>
        <w:gridCol w:w="2268"/>
      </w:tblGrid>
      <w:tr w:rsidR="00546CED" w14:paraId="48BA27D9" w14:textId="77777777" w:rsidTr="0069742D">
        <w:tc>
          <w:tcPr>
            <w:tcW w:w="8648" w:type="dxa"/>
            <w:vAlign w:val="center"/>
          </w:tcPr>
          <w:p w14:paraId="04E5D5C9" w14:textId="77777777" w:rsidR="00546CED" w:rsidRPr="00C42A5A" w:rsidRDefault="00546CED" w:rsidP="0069742D">
            <w:pPr>
              <w:rPr>
                <w:b/>
                <w:lang w:eastAsia="fr-FR"/>
              </w:rPr>
            </w:pPr>
            <w:r w:rsidRPr="00C42A5A">
              <w:rPr>
                <w:b/>
                <w:sz w:val="28"/>
                <w:lang w:eastAsia="fr-FR"/>
              </w:rPr>
              <w:t>Tâches à effectuer</w:t>
            </w:r>
            <w:r>
              <w:rPr>
                <w:b/>
                <w:sz w:val="28"/>
                <w:lang w:eastAsia="fr-FR"/>
              </w:rPr>
              <w:t> dans l’ordre indiqué :</w:t>
            </w:r>
          </w:p>
        </w:tc>
        <w:tc>
          <w:tcPr>
            <w:tcW w:w="2268" w:type="dxa"/>
          </w:tcPr>
          <w:p w14:paraId="004741F6" w14:textId="77777777" w:rsidR="00546CED" w:rsidRPr="00C42A5A" w:rsidRDefault="00546CED" w:rsidP="0069742D">
            <w:pPr>
              <w:rPr>
                <w:b/>
                <w:lang w:eastAsia="fr-FR"/>
              </w:rPr>
            </w:pPr>
            <w:r w:rsidRPr="0081131A">
              <w:rPr>
                <w:b/>
                <w:sz w:val="20"/>
                <w:lang w:eastAsia="fr-FR"/>
              </w:rPr>
              <w:t>Une coche ou rayer la mention inutile lorsqu’elle est réalisée</w:t>
            </w:r>
          </w:p>
        </w:tc>
      </w:tr>
      <w:tr w:rsidR="00546CED" w14:paraId="18F7B7C5" w14:textId="77777777" w:rsidTr="0069742D">
        <w:tc>
          <w:tcPr>
            <w:tcW w:w="8648" w:type="dxa"/>
          </w:tcPr>
          <w:p w14:paraId="2897937D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 w:rsidRPr="0081131A">
              <w:rPr>
                <w:b/>
                <w:sz w:val="20"/>
                <w:lang w:eastAsia="fr-FR"/>
              </w:rPr>
              <w:t>Les préalables :</w:t>
            </w:r>
            <w:r w:rsidRPr="0081131A">
              <w:rPr>
                <w:sz w:val="20"/>
                <w:lang w:eastAsia="fr-FR"/>
              </w:rPr>
              <w:t xml:space="preserve"> Identifier votre établissement</w:t>
            </w:r>
            <w:r>
              <w:rPr>
                <w:sz w:val="20"/>
                <w:lang w:eastAsia="fr-FR"/>
              </w:rPr>
              <w:t xml:space="preserve"> et la direction</w:t>
            </w:r>
          </w:p>
        </w:tc>
        <w:tc>
          <w:tcPr>
            <w:tcW w:w="2268" w:type="dxa"/>
            <w:vAlign w:val="center"/>
          </w:tcPr>
          <w:p w14:paraId="5A01FA99" w14:textId="77777777" w:rsidR="00546CED" w:rsidRPr="00AA477E" w:rsidRDefault="00546CED" w:rsidP="0069742D">
            <w:pPr>
              <w:jc w:val="center"/>
              <w:rPr>
                <w:b/>
                <w:sz w:val="32"/>
                <w:lang w:eastAsia="fr-FR"/>
              </w:rPr>
            </w:pPr>
          </w:p>
        </w:tc>
      </w:tr>
      <w:tr w:rsidR="00546CED" w14:paraId="7E9E7CFA" w14:textId="77777777" w:rsidTr="0069742D">
        <w:tc>
          <w:tcPr>
            <w:tcW w:w="8648" w:type="dxa"/>
          </w:tcPr>
          <w:p w14:paraId="7251C187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 w:rsidRPr="0081131A">
              <w:rPr>
                <w:sz w:val="20"/>
                <w:lang w:eastAsia="fr-FR"/>
              </w:rPr>
              <w:t>Enregistrer les enseignants de l’établissement en complétant le formulaire. Préciser les fonctions particulières occupées dans l’établissement.</w:t>
            </w:r>
          </w:p>
        </w:tc>
        <w:tc>
          <w:tcPr>
            <w:tcW w:w="2268" w:type="dxa"/>
            <w:vAlign w:val="center"/>
          </w:tcPr>
          <w:p w14:paraId="457A4464" w14:textId="77777777" w:rsidR="00546CED" w:rsidRPr="00AA477E" w:rsidRDefault="00546CED" w:rsidP="0069742D">
            <w:pPr>
              <w:jc w:val="center"/>
              <w:rPr>
                <w:b/>
                <w:sz w:val="32"/>
                <w:lang w:eastAsia="fr-FR"/>
              </w:rPr>
            </w:pPr>
          </w:p>
        </w:tc>
      </w:tr>
      <w:tr w:rsidR="00546CED" w14:paraId="4C37227E" w14:textId="77777777" w:rsidTr="0069742D">
        <w:tc>
          <w:tcPr>
            <w:tcW w:w="8648" w:type="dxa"/>
          </w:tcPr>
          <w:p w14:paraId="212D7C0E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lang w:eastAsia="fr-FR"/>
              </w:rPr>
            </w:pPr>
            <w:r w:rsidRPr="0081131A">
              <w:rPr>
                <w:sz w:val="20"/>
                <w:lang w:eastAsia="fr-FR"/>
              </w:rPr>
              <w:t>Le calendrier et les horaires des cours (le début de chaque heure de cours).</w:t>
            </w:r>
            <w:r w:rsidRPr="0081131A">
              <w:rPr>
                <w:sz w:val="20"/>
                <w:lang w:eastAsia="fr-FR"/>
              </w:rPr>
              <w:br/>
              <w:t>Avec la possibilité, au choix, d’indiquer un début d’heure différent pour le mercredi.</w:t>
            </w:r>
            <w:r w:rsidRPr="0081131A">
              <w:rPr>
                <w:sz w:val="20"/>
                <w:lang w:eastAsia="fr-FR"/>
              </w:rPr>
              <w:br/>
            </w:r>
            <w:r w:rsidRPr="0081131A">
              <w:rPr>
                <w:color w:val="FF0000"/>
                <w:sz w:val="20"/>
                <w:lang w:eastAsia="fr-FR"/>
              </w:rPr>
              <w:t>Lancer la création de la feuille des services vierge de tout cours.</w:t>
            </w:r>
          </w:p>
        </w:tc>
        <w:tc>
          <w:tcPr>
            <w:tcW w:w="2268" w:type="dxa"/>
            <w:vAlign w:val="center"/>
          </w:tcPr>
          <w:p w14:paraId="68FCFB07" w14:textId="77777777" w:rsidR="00546CED" w:rsidRPr="00AA477E" w:rsidRDefault="00546CED" w:rsidP="0069742D">
            <w:pPr>
              <w:jc w:val="center"/>
              <w:rPr>
                <w:b/>
                <w:sz w:val="32"/>
                <w:lang w:eastAsia="fr-FR"/>
              </w:rPr>
            </w:pPr>
          </w:p>
        </w:tc>
      </w:tr>
      <w:tr w:rsidR="00546CED" w14:paraId="54E609FF" w14:textId="77777777" w:rsidTr="0069742D">
        <w:tc>
          <w:tcPr>
            <w:tcW w:w="8648" w:type="dxa"/>
          </w:tcPr>
          <w:p w14:paraId="7A332BA3" w14:textId="77777777" w:rsidR="00546CED" w:rsidRPr="0081131A" w:rsidRDefault="00546CED" w:rsidP="0069742D">
            <w:pPr>
              <w:rPr>
                <w:sz w:val="20"/>
                <w:lang w:eastAsia="fr-FR"/>
              </w:rPr>
            </w:pPr>
            <w:r w:rsidRPr="0081131A">
              <w:rPr>
                <w:b/>
                <w:color w:val="FF0000"/>
                <w:sz w:val="20"/>
                <w:lang w:eastAsia="fr-FR"/>
              </w:rPr>
              <w:t>A la fin de cette opération (3), la feuille des services des enseignants est affichée dans la liste des documents disponibles (2 feuilles si l’année est divisée en 2 semestres).</w:t>
            </w:r>
          </w:p>
        </w:tc>
        <w:tc>
          <w:tcPr>
            <w:tcW w:w="2268" w:type="dxa"/>
            <w:vAlign w:val="center"/>
          </w:tcPr>
          <w:p w14:paraId="181E13B0" w14:textId="77777777" w:rsidR="00546CED" w:rsidRPr="0081131A" w:rsidRDefault="00546CED" w:rsidP="0069742D">
            <w:pPr>
              <w:jc w:val="center"/>
              <w:rPr>
                <w:b/>
                <w:sz w:val="28"/>
                <w:lang w:eastAsia="fr-FR"/>
              </w:rPr>
            </w:pPr>
            <w:r w:rsidRPr="0081131A">
              <w:rPr>
                <w:b/>
                <w:color w:val="FF0000"/>
                <w:sz w:val="28"/>
                <w:lang w:eastAsia="fr-FR"/>
              </w:rPr>
              <w:t>OUI-NON</w:t>
            </w:r>
          </w:p>
        </w:tc>
      </w:tr>
      <w:tr w:rsidR="00546CED" w14:paraId="35AD19D9" w14:textId="77777777" w:rsidTr="0069742D">
        <w:tc>
          <w:tcPr>
            <w:tcW w:w="8648" w:type="dxa"/>
          </w:tcPr>
          <w:p w14:paraId="181A6B48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 w:rsidRPr="0081131A">
              <w:rPr>
                <w:sz w:val="20"/>
                <w:lang w:eastAsia="fr-FR"/>
              </w:rPr>
              <w:t>Créer la liste des classes (bien préciser le niveau de chaque classe ou groupe) ;</w:t>
            </w:r>
          </w:p>
        </w:tc>
        <w:tc>
          <w:tcPr>
            <w:tcW w:w="2268" w:type="dxa"/>
            <w:vAlign w:val="center"/>
          </w:tcPr>
          <w:p w14:paraId="4892755C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</w:p>
        </w:tc>
      </w:tr>
      <w:tr w:rsidR="00546CED" w14:paraId="63ACBCB9" w14:textId="77777777" w:rsidTr="0069742D">
        <w:tc>
          <w:tcPr>
            <w:tcW w:w="8648" w:type="dxa"/>
          </w:tcPr>
          <w:p w14:paraId="4CC561FD" w14:textId="77777777" w:rsidR="00546CED" w:rsidRPr="0081131A" w:rsidRDefault="00546CED" w:rsidP="0069742D">
            <w:pPr>
              <w:rPr>
                <w:b/>
                <w:sz w:val="20"/>
                <w:lang w:eastAsia="fr-FR"/>
              </w:rPr>
            </w:pPr>
            <w:r w:rsidRPr="0081131A">
              <w:rPr>
                <w:b/>
                <w:color w:val="FF0000"/>
                <w:sz w:val="20"/>
                <w:lang w:eastAsia="fr-FR"/>
              </w:rPr>
              <w:t xml:space="preserve">Après l’étape </w:t>
            </w:r>
            <w:r>
              <w:rPr>
                <w:b/>
                <w:color w:val="FF0000"/>
                <w:sz w:val="20"/>
                <w:lang w:eastAsia="fr-FR"/>
              </w:rPr>
              <w:t>4</w:t>
            </w:r>
            <w:r w:rsidRPr="0081131A">
              <w:rPr>
                <w:b/>
                <w:color w:val="FF0000"/>
                <w:sz w:val="20"/>
                <w:lang w:eastAsia="fr-FR"/>
              </w:rPr>
              <w:t>, la/les feuilles des services des enseignants DOIVENT être complétée(s)</w:t>
            </w:r>
          </w:p>
        </w:tc>
        <w:tc>
          <w:tcPr>
            <w:tcW w:w="2268" w:type="dxa"/>
            <w:vAlign w:val="center"/>
          </w:tcPr>
          <w:p w14:paraId="4B4CFDAD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  <w:r w:rsidRPr="0081131A">
              <w:rPr>
                <w:b/>
                <w:color w:val="FF0000"/>
                <w:sz w:val="28"/>
                <w:lang w:eastAsia="fr-FR"/>
              </w:rPr>
              <w:t>OUI-NON</w:t>
            </w:r>
          </w:p>
        </w:tc>
      </w:tr>
      <w:tr w:rsidR="00546CED" w14:paraId="7DBCAD64" w14:textId="77777777" w:rsidTr="0069742D">
        <w:tc>
          <w:tcPr>
            <w:tcW w:w="8648" w:type="dxa"/>
          </w:tcPr>
          <w:p w14:paraId="74D0EE1B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 w:rsidRPr="0081131A">
              <w:rPr>
                <w:sz w:val="20"/>
                <w:lang w:eastAsia="fr-FR"/>
              </w:rPr>
              <w:t xml:space="preserve">Compléter, si nécessaire, la liste des activités proposées par défaut pour chaque champ d’apprentissage. En lycée </w:t>
            </w:r>
            <w:r>
              <w:rPr>
                <w:sz w:val="20"/>
                <w:lang w:eastAsia="fr-FR"/>
              </w:rPr>
              <w:t xml:space="preserve">général et technololgique </w:t>
            </w:r>
            <w:r w:rsidRPr="0081131A">
              <w:rPr>
                <w:sz w:val="20"/>
                <w:lang w:eastAsia="fr-FR"/>
              </w:rPr>
              <w:t>les listes ne sont pas modifiables</w:t>
            </w:r>
            <w:r>
              <w:rPr>
                <w:sz w:val="20"/>
                <w:lang w:eastAsia="fr-FR"/>
              </w:rPr>
              <w:t>, hormis l’APSA d’établissement</w:t>
            </w:r>
            <w:r w:rsidRPr="0081131A">
              <w:rPr>
                <w:sz w:val="20"/>
                <w:lang w:eastAsia="fr-FR"/>
              </w:rPr>
              <w:t> </w:t>
            </w:r>
            <w:r>
              <w:rPr>
                <w:sz w:val="20"/>
                <w:lang w:eastAsia="fr-FR"/>
              </w:rPr>
              <w:t xml:space="preserve">(après accord du corps d’inspection) </w:t>
            </w:r>
            <w:r w:rsidRPr="0081131A">
              <w:rPr>
                <w:sz w:val="20"/>
                <w:lang w:eastAsia="fr-FR"/>
              </w:rPr>
              <w:t>!</w:t>
            </w:r>
          </w:p>
        </w:tc>
        <w:tc>
          <w:tcPr>
            <w:tcW w:w="2268" w:type="dxa"/>
            <w:vAlign w:val="center"/>
          </w:tcPr>
          <w:p w14:paraId="0E4B670A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</w:p>
        </w:tc>
      </w:tr>
      <w:tr w:rsidR="00546CED" w14:paraId="684BDB40" w14:textId="77777777" w:rsidTr="0069742D">
        <w:tc>
          <w:tcPr>
            <w:tcW w:w="8648" w:type="dxa"/>
          </w:tcPr>
          <w:p w14:paraId="4A54CF76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S</w:t>
            </w:r>
            <w:r w:rsidRPr="0081131A">
              <w:rPr>
                <w:sz w:val="20"/>
                <w:lang w:eastAsia="fr-FR"/>
              </w:rPr>
              <w:t>élection des APSA retenues (par rapport aux listes précédentes) pour chaque niveau de classe (collège et lycée). Il est indispensable de sélectionner à ce moment toutes les activités susceptibles d’être enseignées dans le niveau.</w:t>
            </w:r>
          </w:p>
        </w:tc>
        <w:tc>
          <w:tcPr>
            <w:tcW w:w="2268" w:type="dxa"/>
            <w:vAlign w:val="center"/>
          </w:tcPr>
          <w:p w14:paraId="32A7BEB4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</w:p>
        </w:tc>
      </w:tr>
      <w:tr w:rsidR="00546CED" w14:paraId="4A0C073A" w14:textId="77777777" w:rsidTr="0069742D">
        <w:tc>
          <w:tcPr>
            <w:tcW w:w="8648" w:type="dxa"/>
          </w:tcPr>
          <w:p w14:paraId="41271A9D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lang w:eastAsia="fr-FR"/>
              </w:rPr>
            </w:pPr>
            <w:r w:rsidRPr="0081131A">
              <w:rPr>
                <w:b/>
                <w:color w:val="FF0000"/>
                <w:sz w:val="20"/>
                <w:lang w:eastAsia="fr-FR"/>
              </w:rPr>
              <w:t>A la fin de cette opération (point 6), les feuilles des programmations pour chaque cycle (cycle 3, cycle 4, lycée, voie pro</w:t>
            </w:r>
            <w:r>
              <w:rPr>
                <w:b/>
                <w:color w:val="FF0000"/>
                <w:sz w:val="20"/>
                <w:lang w:eastAsia="fr-FR"/>
              </w:rPr>
              <w:t xml:space="preserve"> BacPro, voie Pro CAP, Enseignement optionnel lycée</w:t>
            </w:r>
            <w:r w:rsidRPr="0081131A">
              <w:rPr>
                <w:b/>
                <w:color w:val="FF0000"/>
                <w:sz w:val="20"/>
                <w:lang w:eastAsia="fr-FR"/>
              </w:rPr>
              <w:t>) peuvent être créées et apparaissent dans la liste des documents disponibles. Elles se nomment « Programmation… » et sont un récapitulatif par cycle.</w:t>
            </w:r>
          </w:p>
        </w:tc>
        <w:tc>
          <w:tcPr>
            <w:tcW w:w="2268" w:type="dxa"/>
            <w:vAlign w:val="center"/>
          </w:tcPr>
          <w:p w14:paraId="1434D640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  <w:r w:rsidRPr="0081131A">
              <w:rPr>
                <w:b/>
                <w:color w:val="FF0000"/>
                <w:sz w:val="28"/>
                <w:szCs w:val="32"/>
                <w:lang w:eastAsia="fr-FR"/>
              </w:rPr>
              <w:t>OUI-NON</w:t>
            </w:r>
          </w:p>
        </w:tc>
      </w:tr>
      <w:tr w:rsidR="00546CED" w14:paraId="5692732D" w14:textId="77777777" w:rsidTr="0069742D">
        <w:tc>
          <w:tcPr>
            <w:tcW w:w="8648" w:type="dxa"/>
          </w:tcPr>
          <w:p w14:paraId="4A7E1BD4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Programmation annuelle selon 2 méthodes au choix : un tableau unique (planning annuel) ou le découpage de l’année scolaire en</w:t>
            </w:r>
            <w:r w:rsidRPr="0081131A">
              <w:rPr>
                <w:sz w:val="20"/>
                <w:lang w:eastAsia="fr-FR"/>
              </w:rPr>
              <w:t xml:space="preserve"> périodes d’enseignement</w:t>
            </w:r>
            <w:r>
              <w:rPr>
                <w:sz w:val="20"/>
                <w:lang w:eastAsia="fr-FR"/>
              </w:rPr>
              <w:t xml:space="preserve"> (méthode appropriée pour un établissement avec un découpage des cycles identique pour chaque niveau, en collège ou lycée général)</w:t>
            </w:r>
            <w:r w:rsidRPr="0081131A">
              <w:rPr>
                <w:sz w:val="20"/>
                <w:lang w:eastAsia="fr-FR"/>
              </w:rPr>
              <w:t>. Établir le calendrier des périodes d’enseignement (nombre maximal de périodes, sur l’année ou par semestres, dates de début et de fin de chaque période)</w:t>
            </w:r>
            <w:r>
              <w:rPr>
                <w:sz w:val="20"/>
                <w:lang w:eastAsia="fr-FR"/>
              </w:rPr>
              <w:t xml:space="preserve">. </w:t>
            </w:r>
            <w:r w:rsidRPr="0081131A">
              <w:rPr>
                <w:b/>
                <w:color w:val="FF0000"/>
                <w:sz w:val="20"/>
                <w:lang w:eastAsia="fr-FR"/>
              </w:rPr>
              <w:t xml:space="preserve">ATTENTION, </w:t>
            </w:r>
            <w:r>
              <w:rPr>
                <w:b/>
                <w:color w:val="FF0000"/>
                <w:sz w:val="20"/>
                <w:lang w:eastAsia="fr-FR"/>
              </w:rPr>
              <w:t>utiliser la méthode 2 que lorsque</w:t>
            </w:r>
            <w:r w:rsidRPr="0081131A">
              <w:rPr>
                <w:b/>
                <w:color w:val="FF0000"/>
                <w:sz w:val="20"/>
                <w:lang w:eastAsia="fr-FR"/>
              </w:rPr>
              <w:t xml:space="preserve"> la feuille des services des enseignants a été complétée (2 feuilles si organisation semestrielle) </w:t>
            </w:r>
            <w:r>
              <w:rPr>
                <w:b/>
                <w:color w:val="FF0000"/>
                <w:sz w:val="20"/>
                <w:lang w:eastAsia="fr-FR"/>
              </w:rPr>
              <w:t xml:space="preserve">qui sert de « modèle » </w:t>
            </w:r>
            <w:r w:rsidRPr="00AD6811">
              <w:rPr>
                <w:bCs/>
                <w:sz w:val="20"/>
                <w:lang w:eastAsia="fr-FR"/>
              </w:rPr>
              <w:t>! Une feuille par période est créée qu’il faut ensuite compléter.</w:t>
            </w:r>
            <w:r w:rsidRPr="00AD6811">
              <w:rPr>
                <w:bCs/>
                <w:sz w:val="20"/>
                <w:lang w:eastAsia="fr-FR"/>
              </w:rPr>
              <w:br/>
            </w:r>
            <w:r>
              <w:rPr>
                <w:sz w:val="20"/>
                <w:lang w:eastAsia="fr-FR"/>
              </w:rPr>
              <w:t>L’utilisation du planning annuel (un seul tableau) est indépendante des services. Une seule feuille à compléter de manière interactive.</w:t>
            </w:r>
          </w:p>
        </w:tc>
        <w:tc>
          <w:tcPr>
            <w:tcW w:w="2268" w:type="dxa"/>
            <w:vAlign w:val="center"/>
          </w:tcPr>
          <w:p w14:paraId="62FE7319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</w:p>
        </w:tc>
      </w:tr>
      <w:tr w:rsidR="00546CED" w14:paraId="5119FF52" w14:textId="77777777" w:rsidTr="0069742D">
        <w:tc>
          <w:tcPr>
            <w:tcW w:w="8648" w:type="dxa"/>
          </w:tcPr>
          <w:p w14:paraId="4B59712B" w14:textId="77777777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sz w:val="20"/>
                <w:lang w:eastAsia="fr-FR"/>
              </w:rPr>
            </w:pPr>
            <w:r>
              <w:rPr>
                <w:sz w:val="20"/>
                <w:lang w:eastAsia="fr-FR"/>
              </w:rPr>
              <w:t>Renseigner les informations demandées pour le savoir nager en collège</w:t>
            </w:r>
          </w:p>
        </w:tc>
        <w:tc>
          <w:tcPr>
            <w:tcW w:w="2268" w:type="dxa"/>
            <w:vAlign w:val="center"/>
          </w:tcPr>
          <w:p w14:paraId="41576712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</w:p>
        </w:tc>
      </w:tr>
      <w:tr w:rsidR="00546CED" w14:paraId="037F0E11" w14:textId="77777777" w:rsidTr="0069742D">
        <w:tc>
          <w:tcPr>
            <w:tcW w:w="8648" w:type="dxa"/>
          </w:tcPr>
          <w:p w14:paraId="6D64C833" w14:textId="4EFA9C71" w:rsidR="00546CED" w:rsidRPr="0081131A" w:rsidRDefault="00546CED" w:rsidP="0069742D">
            <w:pPr>
              <w:pStyle w:val="Paragraphedeliste"/>
              <w:numPr>
                <w:ilvl w:val="0"/>
                <w:numId w:val="1"/>
              </w:numPr>
              <w:rPr>
                <w:b/>
                <w:sz w:val="20"/>
                <w:lang w:eastAsia="fr-FR"/>
              </w:rPr>
            </w:pPr>
            <w:r w:rsidRPr="0081131A">
              <w:rPr>
                <w:b/>
                <w:sz w:val="20"/>
                <w:lang w:eastAsia="fr-FR"/>
              </w:rPr>
              <w:t>Le « Dossier d’organisation pédagogique de l’EPS » peut être créé (fichier excel</w:t>
            </w:r>
            <w:r>
              <w:rPr>
                <w:b/>
                <w:sz w:val="20"/>
                <w:lang w:eastAsia="fr-FR"/>
              </w:rPr>
              <w:t>) lorsque toutes les étapes sont achevées</w:t>
            </w:r>
            <w:r w:rsidRPr="0081131A">
              <w:rPr>
                <w:b/>
                <w:sz w:val="20"/>
                <w:lang w:eastAsia="fr-FR"/>
              </w:rPr>
              <w:t xml:space="preserve">. </w:t>
            </w:r>
            <w:r>
              <w:rPr>
                <w:b/>
                <w:sz w:val="20"/>
                <w:lang w:eastAsia="fr-FR"/>
              </w:rPr>
              <w:t>Une vérification par l’outil des informations complétées et des documents créés est effectuée. En cas de problème un message averti l’utilisateur et le dossier n’est pas créé.</w:t>
            </w:r>
            <w:r>
              <w:rPr>
                <w:b/>
                <w:sz w:val="20"/>
                <w:lang w:eastAsia="fr-FR"/>
              </w:rPr>
              <w:br/>
            </w:r>
            <w:r w:rsidRPr="0081131A">
              <w:rPr>
                <w:b/>
                <w:color w:val="FF0000"/>
                <w:sz w:val="20"/>
                <w:lang w:eastAsia="fr-FR"/>
              </w:rPr>
              <w:t xml:space="preserve">Il est </w:t>
            </w:r>
            <w:r>
              <w:rPr>
                <w:b/>
                <w:color w:val="FF0000"/>
                <w:sz w:val="20"/>
                <w:lang w:eastAsia="fr-FR"/>
              </w:rPr>
              <w:t>transmis automatiquement (si l’ordinateur est connecté à Internet), sinon il est à</w:t>
            </w:r>
            <w:r w:rsidRPr="0081131A">
              <w:rPr>
                <w:b/>
                <w:color w:val="FF0000"/>
                <w:sz w:val="20"/>
                <w:lang w:eastAsia="fr-FR"/>
              </w:rPr>
              <w:t xml:space="preserve"> retourner à l’inspection pédagogique régionale par voie électronique avant le date limite de retour et à transmetre au chef d’établissement.</w:t>
            </w:r>
          </w:p>
        </w:tc>
        <w:tc>
          <w:tcPr>
            <w:tcW w:w="2268" w:type="dxa"/>
            <w:vAlign w:val="center"/>
          </w:tcPr>
          <w:p w14:paraId="4E613D72" w14:textId="77777777" w:rsidR="00546CED" w:rsidRPr="0081131A" w:rsidRDefault="00546CED" w:rsidP="0069742D">
            <w:pPr>
              <w:jc w:val="center"/>
              <w:rPr>
                <w:sz w:val="28"/>
                <w:szCs w:val="32"/>
                <w:lang w:eastAsia="fr-FR"/>
              </w:rPr>
            </w:pPr>
            <w:r w:rsidRPr="0081131A">
              <w:rPr>
                <w:b/>
                <w:color w:val="FF0000"/>
                <w:sz w:val="28"/>
                <w:szCs w:val="32"/>
                <w:lang w:eastAsia="fr-FR"/>
              </w:rPr>
              <w:t>OUI-NON</w:t>
            </w:r>
          </w:p>
        </w:tc>
      </w:tr>
    </w:tbl>
    <w:p w14:paraId="6C543727" w14:textId="77777777" w:rsidR="00263EB4" w:rsidRDefault="00263EB4" w:rsidP="00AF36CA"/>
    <w:sectPr w:rsidR="00263EB4" w:rsidSect="00546CED">
      <w:pgSz w:w="11906" w:h="16838"/>
      <w:pgMar w:top="284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2559B"/>
    <w:multiLevelType w:val="hybridMultilevel"/>
    <w:tmpl w:val="FC5849D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71"/>
    <w:rsid w:val="0017360D"/>
    <w:rsid w:val="00263EB4"/>
    <w:rsid w:val="00324734"/>
    <w:rsid w:val="004D3C7A"/>
    <w:rsid w:val="00546CED"/>
    <w:rsid w:val="005B40CC"/>
    <w:rsid w:val="00613119"/>
    <w:rsid w:val="008C089D"/>
    <w:rsid w:val="00A95270"/>
    <w:rsid w:val="00AF36CA"/>
    <w:rsid w:val="00DE2971"/>
    <w:rsid w:val="00F530F2"/>
    <w:rsid w:val="00FE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4420"/>
  <w15:chartTrackingRefBased/>
  <w15:docId w15:val="{C2006AF5-D6DE-4248-B72C-2DD1E10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971"/>
    <w:rPr>
      <w:noProof/>
    </w:rPr>
  </w:style>
  <w:style w:type="paragraph" w:styleId="Titre1">
    <w:name w:val="heading 1"/>
    <w:basedOn w:val="Normal"/>
    <w:next w:val="Normal"/>
    <w:link w:val="Titre1Car"/>
    <w:uiPriority w:val="9"/>
    <w:qFormat/>
    <w:rsid w:val="00DE2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2971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DE297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E2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E2971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29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E2971"/>
    <w:rPr>
      <w:rFonts w:eastAsiaTheme="minorEastAsia"/>
      <w:noProof/>
      <w:color w:val="5A5A5A" w:themeColor="text1" w:themeTint="A5"/>
      <w:spacing w:val="1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E29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E2971"/>
    <w:rPr>
      <w:i/>
      <w:iCs/>
      <w:noProof/>
      <w:color w:val="5B9BD5" w:themeColor="accent1"/>
    </w:rPr>
  </w:style>
  <w:style w:type="table" w:styleId="Grilledutableau">
    <w:name w:val="Table Grid"/>
    <w:basedOn w:val="TableauNormal"/>
    <w:uiPriority w:val="39"/>
    <w:rsid w:val="00DE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642</Words>
  <Characters>3284</Characters>
  <Application>Microsoft Office Word</Application>
  <DocSecurity>0</DocSecurity>
  <Lines>105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di Pol</dc:creator>
  <cp:keywords/>
  <dc:description/>
  <cp:lastModifiedBy>Luc di Pol</cp:lastModifiedBy>
  <cp:revision>13</cp:revision>
  <dcterms:created xsi:type="dcterms:W3CDTF">2016-09-10T21:33:00Z</dcterms:created>
  <dcterms:modified xsi:type="dcterms:W3CDTF">2020-09-10T09:50:00Z</dcterms:modified>
</cp:coreProperties>
</file>