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7F20" w14:textId="02F937A7" w:rsidR="00CC093A" w:rsidRDefault="00CC093A">
      <w:r w:rsidRPr="00CC093A">
        <w:rPr>
          <w:noProof/>
        </w:rPr>
        <w:drawing>
          <wp:anchor distT="0" distB="0" distL="114300" distR="114300" simplePos="0" relativeHeight="251658240" behindDoc="0" locked="0" layoutInCell="1" allowOverlap="1" wp14:anchorId="45F91402" wp14:editId="59A4E015">
            <wp:simplePos x="0" y="0"/>
            <wp:positionH relativeFrom="column">
              <wp:posOffset>-127294</wp:posOffset>
            </wp:positionH>
            <wp:positionV relativeFrom="paragraph">
              <wp:posOffset>-409807</wp:posOffset>
            </wp:positionV>
            <wp:extent cx="754441" cy="5352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1" cy="53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90AC1" w14:textId="515F60C6" w:rsidR="00E90F7A" w:rsidRDefault="00E90F7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5"/>
        <w:gridCol w:w="5035"/>
        <w:gridCol w:w="5035"/>
      </w:tblGrid>
      <w:tr w:rsidR="00ED632D" w14:paraId="60BB8A1B" w14:textId="77777777" w:rsidTr="00ED632D">
        <w:tc>
          <w:tcPr>
            <w:tcW w:w="5035" w:type="dxa"/>
          </w:tcPr>
          <w:p w14:paraId="5C4FB7B7" w14:textId="5134CCD8" w:rsidR="00ED632D" w:rsidRDefault="00ED632D" w:rsidP="00ED632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BGT</w:t>
            </w:r>
          </w:p>
        </w:tc>
        <w:tc>
          <w:tcPr>
            <w:tcW w:w="5035" w:type="dxa"/>
          </w:tcPr>
          <w:p w14:paraId="7947CDC1" w14:textId="3F1B4C21" w:rsidR="00ED632D" w:rsidRDefault="00ED632D" w:rsidP="00ED632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EN DUREE</w:t>
            </w:r>
          </w:p>
        </w:tc>
        <w:tc>
          <w:tcPr>
            <w:tcW w:w="5035" w:type="dxa"/>
          </w:tcPr>
          <w:p w14:paraId="52AD62FE" w14:textId="0B086FF7" w:rsidR="00ED632D" w:rsidRDefault="00ED632D" w:rsidP="00ED632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CA5</w:t>
            </w:r>
          </w:p>
        </w:tc>
      </w:tr>
    </w:tbl>
    <w:p w14:paraId="21BD94B7" w14:textId="77777777" w:rsidR="00552F80" w:rsidRPr="006821F8" w:rsidRDefault="00552F80" w:rsidP="00ED632D">
      <w:pPr>
        <w:jc w:val="center"/>
        <w:rPr>
          <w:rFonts w:ascii="Arial" w:eastAsia="Arial" w:hAnsi="Arial" w:cs="Arial"/>
          <w:b/>
        </w:rPr>
      </w:pPr>
    </w:p>
    <w:p w14:paraId="00FEE383" w14:textId="77777777" w:rsidR="00552F80" w:rsidRPr="006821F8" w:rsidRDefault="00552F80" w:rsidP="00552F80">
      <w:pPr>
        <w:ind w:left="1560" w:hanging="709"/>
        <w:rPr>
          <w:rFonts w:ascii="Arial" w:eastAsia="Arial" w:hAnsi="Arial" w:cs="Arial"/>
          <w:b/>
          <w:sz w:val="22"/>
          <w:szCs w:val="22"/>
        </w:rPr>
      </w:pPr>
    </w:p>
    <w:p w14:paraId="4D6AC074" w14:textId="77777777" w:rsidR="00552F80" w:rsidRPr="006821F8" w:rsidRDefault="00552F80" w:rsidP="00552F80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6821F8">
        <w:rPr>
          <w:rFonts w:ascii="Arial" w:eastAsia="Arial" w:hAnsi="Arial" w:cs="Arial"/>
          <w:b/>
          <w:sz w:val="22"/>
          <w:szCs w:val="22"/>
        </w:rPr>
        <w:t>Principes d’évaluation</w:t>
      </w:r>
    </w:p>
    <w:p w14:paraId="1365EDE6" w14:textId="77777777" w:rsidR="00552F80" w:rsidRPr="006821F8" w:rsidRDefault="00552F80" w:rsidP="00552F80">
      <w:pPr>
        <w:pStyle w:val="Paragraphedeliste"/>
        <w:numPr>
          <w:ilvl w:val="0"/>
          <w:numId w:val="1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AFL1</w:t>
      </w:r>
      <w:r w:rsidRPr="006821F8">
        <w:rPr>
          <w:rFonts w:ascii="Arial" w:eastAsia="Arial" w:hAnsi="Arial" w:cs="Arial"/>
          <w:sz w:val="22"/>
          <w:szCs w:val="22"/>
        </w:rPr>
        <w:t xml:space="preserve"> s’évalue le jour du CCF en observant la séance d’entrainement proposée par le candidat, régulée en fonction de ses ressentis</w:t>
      </w:r>
      <w:r w:rsidRPr="00EC4407">
        <w:rPr>
          <w:rFonts w:ascii="Arial" w:eastAsia="Arial" w:hAnsi="Arial" w:cs="Arial"/>
          <w:sz w:val="22"/>
          <w:szCs w:val="22"/>
        </w:rPr>
        <w:t>, par une épreuve d’évaluation respectant le référentiel national du champ d’apprentissage</w:t>
      </w:r>
      <w:r w:rsidRPr="006821F8">
        <w:rPr>
          <w:rFonts w:ascii="Arial" w:eastAsia="Arial" w:hAnsi="Arial" w:cs="Arial"/>
          <w:sz w:val="22"/>
          <w:szCs w:val="22"/>
        </w:rPr>
        <w:t xml:space="preserve"> </w:t>
      </w:r>
    </w:p>
    <w:p w14:paraId="486441A2" w14:textId="77777777" w:rsidR="00552F80" w:rsidRPr="006821F8" w:rsidRDefault="00552F80" w:rsidP="00552F80">
      <w:pPr>
        <w:pStyle w:val="Paragraphedeliste"/>
        <w:numPr>
          <w:ilvl w:val="0"/>
          <w:numId w:val="1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AFL2</w:t>
      </w:r>
      <w:r w:rsidRPr="006821F8">
        <w:rPr>
          <w:rFonts w:ascii="Arial" w:eastAsia="Arial" w:hAnsi="Arial" w:cs="Arial"/>
          <w:sz w:val="22"/>
          <w:szCs w:val="22"/>
        </w:rPr>
        <w:t xml:space="preserve"> et l’</w:t>
      </w:r>
      <w:r>
        <w:rPr>
          <w:rFonts w:ascii="Arial" w:eastAsia="Arial" w:hAnsi="Arial" w:cs="Arial"/>
          <w:sz w:val="22"/>
          <w:szCs w:val="22"/>
        </w:rPr>
        <w:t>AFL3</w:t>
      </w:r>
      <w:r w:rsidRPr="006821F8">
        <w:rPr>
          <w:rFonts w:ascii="Arial" w:eastAsia="Arial" w:hAnsi="Arial" w:cs="Arial"/>
          <w:sz w:val="22"/>
          <w:szCs w:val="22"/>
        </w:rPr>
        <w:t xml:space="preserve"> s’évaluent au fil de la séquence d’enseignement et éventuellement le jour de l’épreuve, en référence aux repères nationaux</w:t>
      </w:r>
    </w:p>
    <w:p w14:paraId="4936BCB7" w14:textId="77777777" w:rsidR="00552F80" w:rsidRPr="00A438EE" w:rsidRDefault="00552F80" w:rsidP="00552F80">
      <w:pPr>
        <w:pStyle w:val="Paragraphedeliste"/>
        <w:numPr>
          <w:ilvl w:val="0"/>
          <w:numId w:val="1"/>
        </w:numPr>
        <w:ind w:left="1560" w:hanging="284"/>
        <w:rPr>
          <w:rFonts w:ascii="Arial" w:eastAsia="Arial" w:hAnsi="Arial" w:cs="Arial"/>
          <w:sz w:val="22"/>
          <w:szCs w:val="22"/>
        </w:rPr>
      </w:pPr>
      <w:bookmarkStart w:id="0" w:name="_Hlk10453957"/>
      <w:r w:rsidRPr="006821F8">
        <w:rPr>
          <w:rFonts w:ascii="Arial" w:hAnsi="Arial" w:cs="Arial"/>
          <w:sz w:val="22"/>
          <w:szCs w:val="22"/>
        </w:rPr>
        <w:t>L’évaluation de l’</w:t>
      </w:r>
      <w:r>
        <w:rPr>
          <w:rFonts w:ascii="Arial" w:hAnsi="Arial" w:cs="Arial"/>
          <w:sz w:val="22"/>
          <w:szCs w:val="22"/>
        </w:rPr>
        <w:t>AFL2</w:t>
      </w:r>
      <w:r w:rsidRPr="006821F8">
        <w:rPr>
          <w:rFonts w:ascii="Arial" w:hAnsi="Arial" w:cs="Arial"/>
          <w:sz w:val="22"/>
          <w:szCs w:val="22"/>
        </w:rPr>
        <w:t xml:space="preserve"> peut s’appuyer sur le carnet </w:t>
      </w:r>
      <w:bookmarkEnd w:id="0"/>
      <w:r w:rsidRPr="006821F8">
        <w:rPr>
          <w:rFonts w:ascii="Arial" w:hAnsi="Arial" w:cs="Arial"/>
          <w:sz w:val="22"/>
          <w:szCs w:val="22"/>
        </w:rPr>
        <w:t>de suivi</w:t>
      </w:r>
    </w:p>
    <w:p w14:paraId="53F2A2A7" w14:textId="77777777" w:rsidR="00552F80" w:rsidRPr="001D7638" w:rsidRDefault="00552F80" w:rsidP="00552F80">
      <w:pPr>
        <w:pStyle w:val="Paragraphedeliste"/>
        <w:numPr>
          <w:ilvl w:val="0"/>
          <w:numId w:val="1"/>
        </w:numPr>
        <w:ind w:left="1560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fonction du choix fait par l’élève entre les 3 objectifs ; s’entraîner pour </w:t>
      </w:r>
      <w:r w:rsidRPr="00A90D2E">
        <w:rPr>
          <w:rFonts w:ascii="Arial" w:hAnsi="Arial" w:cs="Arial"/>
          <w:sz w:val="22"/>
          <w:szCs w:val="22"/>
        </w:rPr>
        <w:t xml:space="preserve">développer son </w:t>
      </w:r>
      <w:proofErr w:type="gramStart"/>
      <w:r w:rsidRPr="00A90D2E">
        <w:rPr>
          <w:rFonts w:ascii="Arial" w:hAnsi="Arial" w:cs="Arial"/>
          <w:sz w:val="22"/>
          <w:szCs w:val="22"/>
        </w:rPr>
        <w:t>endurance  fondamentale</w:t>
      </w:r>
      <w:proofErr w:type="gramEnd"/>
      <w:r w:rsidRPr="00A90D2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90D2E">
        <w:rPr>
          <w:rFonts w:ascii="Arial" w:hAnsi="Arial" w:cs="Arial"/>
          <w:sz w:val="22"/>
          <w:szCs w:val="22"/>
        </w:rPr>
        <w:t>( 60</w:t>
      </w:r>
      <w:proofErr w:type="gramEnd"/>
      <w:r w:rsidRPr="00A90D2E">
        <w:rPr>
          <w:rFonts w:ascii="Arial" w:hAnsi="Arial" w:cs="Arial"/>
          <w:sz w:val="22"/>
          <w:szCs w:val="22"/>
        </w:rPr>
        <w:t xml:space="preserve"> à 70% de la VMA) »  et « s’entraîner pour développer sa capacité aérobie  (</w:t>
      </w:r>
      <w:r>
        <w:rPr>
          <w:rFonts w:ascii="Arial" w:hAnsi="Arial" w:cs="Arial"/>
          <w:sz w:val="22"/>
          <w:szCs w:val="22"/>
        </w:rPr>
        <w:t>70 à 85</w:t>
      </w:r>
      <w:r w:rsidRPr="001D7638">
        <w:rPr>
          <w:rFonts w:ascii="Arial" w:hAnsi="Arial" w:cs="Arial"/>
          <w:sz w:val="22"/>
          <w:szCs w:val="22"/>
        </w:rPr>
        <w:t>% de la VMA) » ou « s’entraîner pour développer sa puissance aérobie ( 90 à 110% de la VMA )» , élaborer et réaliser une séance d’entraînement de 30 minutes en adaptant temps de course à différentes allures cibles,% de VMA et temps de récupération après un échauffement efficace .</w:t>
      </w:r>
    </w:p>
    <w:p w14:paraId="1E56C945" w14:textId="77777777" w:rsidR="00552F80" w:rsidRDefault="00552F80" w:rsidP="00552F80">
      <w:pPr>
        <w:ind w:left="1560" w:hanging="709"/>
        <w:rPr>
          <w:rFonts w:ascii="Arial" w:eastAsia="Arial" w:hAnsi="Arial" w:cs="Arial"/>
          <w:b/>
          <w:sz w:val="22"/>
          <w:szCs w:val="22"/>
        </w:rPr>
      </w:pPr>
    </w:p>
    <w:p w14:paraId="0274256D" w14:textId="77777777" w:rsidR="00552F80" w:rsidRPr="006821F8" w:rsidRDefault="00552F80" w:rsidP="00552F80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6821F8">
        <w:rPr>
          <w:rFonts w:ascii="Arial" w:eastAsia="Arial" w:hAnsi="Arial" w:cs="Arial"/>
          <w:b/>
          <w:sz w:val="22"/>
          <w:szCs w:val="22"/>
        </w:rPr>
        <w:t xml:space="preserve">Barème et notation </w:t>
      </w:r>
    </w:p>
    <w:p w14:paraId="3CCC7368" w14:textId="77777777" w:rsidR="00552F80" w:rsidRPr="006821F8" w:rsidRDefault="00552F80" w:rsidP="00552F80">
      <w:pPr>
        <w:pStyle w:val="Paragraphedeliste"/>
        <w:numPr>
          <w:ilvl w:val="0"/>
          <w:numId w:val="1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AFL1</w:t>
      </w:r>
      <w:r w:rsidRPr="006821F8">
        <w:rPr>
          <w:rFonts w:ascii="Arial" w:eastAsia="Arial" w:hAnsi="Arial" w:cs="Arial"/>
          <w:sz w:val="22"/>
          <w:szCs w:val="22"/>
        </w:rPr>
        <w:t xml:space="preserve"> est noté sur 12 points (chacun des éléments est noté au moins sur 4 points)</w:t>
      </w:r>
    </w:p>
    <w:p w14:paraId="0A742817" w14:textId="77777777" w:rsidR="00552F80" w:rsidRPr="006821F8" w:rsidRDefault="00552F80" w:rsidP="00552F80">
      <w:pPr>
        <w:pStyle w:val="Paragraphedeliste"/>
        <w:numPr>
          <w:ilvl w:val="0"/>
          <w:numId w:val="1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 xml:space="preserve">Les </w:t>
      </w:r>
      <w:r>
        <w:rPr>
          <w:rFonts w:ascii="Arial" w:eastAsia="Arial" w:hAnsi="Arial" w:cs="Arial"/>
          <w:sz w:val="22"/>
          <w:szCs w:val="22"/>
        </w:rPr>
        <w:t>AFL2</w:t>
      </w:r>
      <w:r w:rsidRPr="006821F8">
        <w:rPr>
          <w:rFonts w:ascii="Arial" w:eastAsia="Arial" w:hAnsi="Arial" w:cs="Arial"/>
          <w:sz w:val="22"/>
          <w:szCs w:val="22"/>
        </w:rPr>
        <w:t xml:space="preserve"> et 3 sont notés sur 8 points. La répartition des 8 points est au choix des élèves avec trois possibilités de répartition : AFL2 = 4 pts /AFL3 = 4 pts ; AFL2 = 6 pts /AFL3 = 2 pts ; AFL2 = 2 pts /AFL3 = 6 pts</w:t>
      </w:r>
    </w:p>
    <w:p w14:paraId="2532B387" w14:textId="77777777" w:rsidR="00552F80" w:rsidRPr="006821F8" w:rsidRDefault="00552F80" w:rsidP="00552F80">
      <w:pPr>
        <w:pStyle w:val="Paragraphedeliste"/>
        <w:ind w:left="1560" w:hanging="284"/>
        <w:rPr>
          <w:rFonts w:ascii="Arial" w:eastAsia="Arial" w:hAnsi="Arial" w:cs="Arial"/>
          <w:sz w:val="22"/>
          <w:szCs w:val="22"/>
        </w:rPr>
      </w:pPr>
    </w:p>
    <w:p w14:paraId="251E0C39" w14:textId="77777777" w:rsidR="00552F80" w:rsidRPr="006821F8" w:rsidRDefault="00552F80" w:rsidP="00552F80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6821F8">
        <w:rPr>
          <w:rFonts w:ascii="Arial" w:eastAsia="Arial" w:hAnsi="Arial" w:cs="Arial"/>
          <w:b/>
          <w:sz w:val="22"/>
          <w:szCs w:val="22"/>
        </w:rPr>
        <w:t xml:space="preserve">Choix possibles pour les élèves </w:t>
      </w:r>
    </w:p>
    <w:p w14:paraId="0CC7B9CE" w14:textId="77777777" w:rsidR="00552F80" w:rsidRPr="006821F8" w:rsidRDefault="00552F80" w:rsidP="00552F80">
      <w:pPr>
        <w:pStyle w:val="Paragraphedeliste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AFL1</w:t>
      </w:r>
      <w:r w:rsidRPr="006821F8">
        <w:rPr>
          <w:rFonts w:ascii="Arial" w:eastAsia="Arial" w:hAnsi="Arial" w:cs="Arial"/>
          <w:sz w:val="22"/>
          <w:szCs w:val="22"/>
        </w:rPr>
        <w:t xml:space="preserve"> et AFL2 : Choix du projet d’entrainement</w:t>
      </w:r>
    </w:p>
    <w:p w14:paraId="652FD82B" w14:textId="77777777" w:rsidR="00552F80" w:rsidRPr="006821F8" w:rsidRDefault="00552F80" w:rsidP="00552F80">
      <w:pPr>
        <w:pStyle w:val="Paragraphedeliste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AFL1</w:t>
      </w:r>
      <w:r w:rsidRPr="006821F8">
        <w:rPr>
          <w:rFonts w:ascii="Arial" w:eastAsia="Arial" w:hAnsi="Arial" w:cs="Arial"/>
          <w:sz w:val="22"/>
          <w:szCs w:val="22"/>
        </w:rPr>
        <w:t xml:space="preserve"> et AFL2 : Choix des paramètres d’entrainement </w:t>
      </w:r>
    </w:p>
    <w:p w14:paraId="7784DCA2" w14:textId="77777777" w:rsidR="00552F80" w:rsidRPr="006821F8" w:rsidRDefault="00552F80" w:rsidP="00552F80">
      <w:pPr>
        <w:pStyle w:val="Paragraphedeliste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>AFL3 : Choix des modalités d’aide de son ou ses partenaires</w:t>
      </w:r>
    </w:p>
    <w:p w14:paraId="3F112C16" w14:textId="77777777" w:rsidR="00552F80" w:rsidRPr="006821F8" w:rsidRDefault="00552F80" w:rsidP="00552F80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 xml:space="preserve">AFL2 et AFL3 : </w:t>
      </w:r>
      <w:r>
        <w:rPr>
          <w:rFonts w:ascii="Arial" w:eastAsia="Arial" w:hAnsi="Arial" w:cs="Arial"/>
          <w:sz w:val="22"/>
          <w:szCs w:val="22"/>
        </w:rPr>
        <w:t>L</w:t>
      </w:r>
      <w:r w:rsidRPr="006821F8">
        <w:rPr>
          <w:rFonts w:ascii="Arial" w:eastAsia="Arial" w:hAnsi="Arial" w:cs="Arial"/>
          <w:sz w:val="22"/>
          <w:szCs w:val="22"/>
        </w:rPr>
        <w:t>e poids relatif dans l’évaluation</w:t>
      </w:r>
    </w:p>
    <w:p w14:paraId="10D51DF0" w14:textId="77777777" w:rsidR="00552F80" w:rsidRPr="006821F8" w:rsidRDefault="00552F80" w:rsidP="00552F80">
      <w:pPr>
        <w:ind w:left="426"/>
        <w:rPr>
          <w:rFonts w:ascii="Arial" w:hAnsi="Arial" w:cs="Arial"/>
          <w:b/>
          <w:sz w:val="16"/>
        </w:rPr>
      </w:pPr>
    </w:p>
    <w:p w14:paraId="5AEA40C6" w14:textId="77777777" w:rsidR="00552F80" w:rsidRPr="006821F8" w:rsidRDefault="00552F80" w:rsidP="00552F80">
      <w:pPr>
        <w:spacing w:after="160" w:line="259" w:lineRule="auto"/>
        <w:rPr>
          <w:rFonts w:ascii="Arial" w:hAnsi="Arial" w:cs="Arial"/>
          <w:b/>
          <w:sz w:val="16"/>
        </w:rPr>
      </w:pPr>
      <w:r w:rsidRPr="006821F8">
        <w:rPr>
          <w:rFonts w:ascii="Arial" w:hAnsi="Arial" w:cs="Arial"/>
          <w:b/>
          <w:sz w:val="16"/>
        </w:rPr>
        <w:br w:type="page"/>
      </w:r>
    </w:p>
    <w:p w14:paraId="67C3DBCC" w14:textId="77777777" w:rsidR="00552F80" w:rsidRDefault="00552F80" w:rsidP="00552F80">
      <w:pPr>
        <w:pStyle w:val="Default"/>
        <w:rPr>
          <w:bCs/>
          <w:color w:val="auto"/>
          <w:sz w:val="22"/>
          <w:szCs w:val="22"/>
        </w:rPr>
      </w:pPr>
      <w:r w:rsidRPr="006821F8">
        <w:rPr>
          <w:b/>
          <w:sz w:val="22"/>
          <w:szCs w:val="22"/>
        </w:rPr>
        <w:lastRenderedPageBreak/>
        <w:t>R</w:t>
      </w:r>
      <w:r w:rsidRPr="006821F8">
        <w:rPr>
          <w:rFonts w:eastAsia="Arial"/>
          <w:b/>
          <w:sz w:val="22"/>
          <w:szCs w:val="22"/>
        </w:rPr>
        <w:t>epères d’évaluation de l’AFL1</w:t>
      </w:r>
      <w:r w:rsidRPr="006821F8">
        <w:rPr>
          <w:color w:val="auto"/>
          <w:sz w:val="22"/>
          <w:szCs w:val="22"/>
        </w:rPr>
        <w:t xml:space="preserve"> : </w:t>
      </w:r>
      <w:r w:rsidRPr="006821F8">
        <w:rPr>
          <w:bCs/>
          <w:color w:val="auto"/>
          <w:sz w:val="22"/>
          <w:szCs w:val="22"/>
        </w:rPr>
        <w:t>S’engager pour obtenir les effets recherchés selon son projet personnel, en faisant des choix de paramètres d’entraînement cohérents avec le thème retenu</w:t>
      </w:r>
    </w:p>
    <w:p w14:paraId="5FD40237" w14:textId="77777777" w:rsidR="00552F80" w:rsidRDefault="00552F80" w:rsidP="00552F80">
      <w:pPr>
        <w:pStyle w:val="Default"/>
        <w:rPr>
          <w:bCs/>
          <w:color w:val="auto"/>
          <w:sz w:val="22"/>
          <w:szCs w:val="22"/>
        </w:rPr>
      </w:pPr>
    </w:p>
    <w:p w14:paraId="6365E167" w14:textId="77777777" w:rsidR="00552F80" w:rsidRPr="00A438EE" w:rsidRDefault="00552F80" w:rsidP="00552F80">
      <w:pPr>
        <w:pStyle w:val="Default"/>
        <w:rPr>
          <w:b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>AFL déclinée dans l’activité : courir à différentes allures-cibles sur des temps et des % de VMA adaptés à son choix d’objectif avec les temps de récupération adéquats</w:t>
      </w:r>
    </w:p>
    <w:p w14:paraId="56851C0F" w14:textId="77777777" w:rsidR="00552F80" w:rsidRPr="006821F8" w:rsidRDefault="00552F80" w:rsidP="00552F80">
      <w:pPr>
        <w:ind w:left="426"/>
        <w:jc w:val="center"/>
        <w:rPr>
          <w:rFonts w:ascii="Arial" w:hAnsi="Arial" w:cs="Arial"/>
          <w:sz w:val="20"/>
        </w:rPr>
      </w:pPr>
    </w:p>
    <w:tbl>
      <w:tblPr>
        <w:tblW w:w="152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2977"/>
        <w:gridCol w:w="3260"/>
        <w:gridCol w:w="3477"/>
      </w:tblGrid>
      <w:tr w:rsidR="00552F80" w:rsidRPr="006821F8" w14:paraId="492D8EE0" w14:textId="77777777" w:rsidTr="005D3EC3">
        <w:trPr>
          <w:trHeight w:val="144"/>
        </w:trPr>
        <w:tc>
          <w:tcPr>
            <w:tcW w:w="15242" w:type="dxa"/>
            <w:gridSpan w:val="5"/>
          </w:tcPr>
          <w:p w14:paraId="4B925E04" w14:textId="77777777" w:rsidR="00552F80" w:rsidRPr="006821F8" w:rsidRDefault="00552F80" w:rsidP="005D3EC3">
            <w:pPr>
              <w:pStyle w:val="Titre2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821F8">
              <w:rPr>
                <w:rFonts w:ascii="Arial" w:hAnsi="Arial" w:cs="Arial"/>
                <w:color w:val="000000" w:themeColor="text1"/>
                <w:sz w:val="20"/>
              </w:rPr>
              <w:t>Principe d’élaboration des épreuves du champ d’apprentissage</w:t>
            </w:r>
          </w:p>
        </w:tc>
      </w:tr>
      <w:tr w:rsidR="00552F80" w:rsidRPr="006821F8" w14:paraId="6226735F" w14:textId="77777777" w:rsidTr="005D3EC3">
        <w:trPr>
          <w:trHeight w:val="1473"/>
        </w:trPr>
        <w:tc>
          <w:tcPr>
            <w:tcW w:w="15242" w:type="dxa"/>
            <w:gridSpan w:val="5"/>
            <w:vAlign w:val="center"/>
          </w:tcPr>
          <w:p w14:paraId="73CF15E4" w14:textId="5DB1B1A5" w:rsidR="00552F80" w:rsidRDefault="00552F80" w:rsidP="005D3EC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Sur un parcours en navette (ou autre au choix de l’enseignant) qui permet d’identifier les vitesses en km/h ; l’élève conçoit une séance d’entraînement de 30 minutes après un échauffement </w:t>
            </w:r>
            <w:r w:rsidR="006A149A">
              <w:rPr>
                <w:color w:val="auto"/>
                <w:sz w:val="20"/>
                <w:szCs w:val="20"/>
              </w:rPr>
              <w:t>structuré.</w:t>
            </w:r>
          </w:p>
          <w:p w14:paraId="6A87C8F5" w14:textId="77777777" w:rsidR="00552F80" w:rsidRDefault="00552F80" w:rsidP="005D3EC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Sur ces 30 minutes, il devra impérativement courir au minimum à deux allures différentes (au moins 2km/h </w:t>
            </w:r>
            <w:proofErr w:type="gramStart"/>
            <w:r>
              <w:rPr>
                <w:color w:val="auto"/>
                <w:sz w:val="20"/>
                <w:szCs w:val="20"/>
              </w:rPr>
              <w:t>d’écart )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et choisir les temps de séquence de course, le % de VMA , et les temps de récupération en fonction de l’objectif choisi parmi  trois mobiles « s’entraîner pour </w:t>
            </w:r>
            <w:bookmarkStart w:id="1" w:name="_Hlk128488159"/>
            <w:r>
              <w:rPr>
                <w:color w:val="auto"/>
                <w:sz w:val="20"/>
                <w:szCs w:val="20"/>
              </w:rPr>
              <w:t>développer son endurance  fondamentale</w:t>
            </w:r>
            <w:r w:rsidRPr="00E6252A">
              <w:rPr>
                <w:rFonts w:eastAsia="Calibri"/>
                <w:sz w:val="20"/>
                <w:szCs w:val="20"/>
                <w:u w:val="single"/>
              </w:rPr>
              <w:t>.</w:t>
            </w:r>
            <w:r w:rsidRPr="00E6252A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E6252A">
              <w:rPr>
                <w:rFonts w:eastAsia="Calibri"/>
                <w:sz w:val="20"/>
                <w:szCs w:val="20"/>
                <w:u w:val="single"/>
              </w:rPr>
              <w:t>(</w:t>
            </w:r>
            <w:r w:rsidRPr="00E6252A">
              <w:rPr>
                <w:rFonts w:eastAsia="Calibri"/>
                <w:sz w:val="20"/>
                <w:szCs w:val="20"/>
              </w:rPr>
              <w:t xml:space="preserve"> 60</w:t>
            </w:r>
            <w:proofErr w:type="gramEnd"/>
            <w:r w:rsidRPr="00E6252A">
              <w:rPr>
                <w:rFonts w:eastAsia="Calibri"/>
                <w:sz w:val="20"/>
                <w:szCs w:val="20"/>
              </w:rPr>
              <w:t xml:space="preserve"> à 70% de la VMA)</w:t>
            </w:r>
            <w:r>
              <w:rPr>
                <w:color w:val="auto"/>
                <w:sz w:val="20"/>
                <w:szCs w:val="20"/>
              </w:rPr>
              <w:t xml:space="preserve"> »  et « s’entraîner pour développer sa capacité </w:t>
            </w:r>
            <w:r w:rsidRPr="00E6252A">
              <w:rPr>
                <w:rFonts w:eastAsia="Calibri"/>
                <w:sz w:val="20"/>
                <w:szCs w:val="20"/>
                <w:u w:val="single"/>
              </w:rPr>
              <w:t xml:space="preserve"> aérobie</w:t>
            </w:r>
            <w:r w:rsidRPr="00E6252A">
              <w:rPr>
                <w:rFonts w:eastAsia="Calibri"/>
                <w:sz w:val="20"/>
                <w:szCs w:val="20"/>
              </w:rPr>
              <w:t xml:space="preserve"> (80 à 90 % de la VMA)</w:t>
            </w:r>
            <w:r>
              <w:rPr>
                <w:color w:val="auto"/>
                <w:sz w:val="20"/>
                <w:szCs w:val="20"/>
              </w:rPr>
              <w:t xml:space="preserve"> » ou « s’entraîner pour développer sa puissance aérobie </w:t>
            </w:r>
            <w:r w:rsidRPr="00E6252A">
              <w:rPr>
                <w:rFonts w:eastAsia="Calibri"/>
                <w:sz w:val="20"/>
                <w:szCs w:val="20"/>
              </w:rPr>
              <w:t>( 90 à 110% de la VMA )</w:t>
            </w:r>
            <w:r>
              <w:rPr>
                <w:color w:val="auto"/>
                <w:sz w:val="20"/>
                <w:szCs w:val="20"/>
              </w:rPr>
              <w:t>»</w:t>
            </w:r>
          </w:p>
          <w:bookmarkEnd w:id="1"/>
          <w:p w14:paraId="76354607" w14:textId="77777777" w:rsidR="00552F80" w:rsidRDefault="00552F80" w:rsidP="005D3EC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Chaque minute de course est validée par un observateur à chaque passage en « zone de tolérance » de 5m.</w:t>
            </w:r>
          </w:p>
          <w:p w14:paraId="74CC7160" w14:textId="77777777" w:rsidR="00552F80" w:rsidRPr="00A438EE" w:rsidRDefault="00552F80" w:rsidP="005D3EC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Lors de chaque moment de récupération, il indique à son observateur son ressenti sur la </w:t>
            </w:r>
            <w:proofErr w:type="gramStart"/>
            <w:r>
              <w:rPr>
                <w:color w:val="auto"/>
                <w:sz w:val="20"/>
                <w:szCs w:val="20"/>
              </w:rPr>
              <w:t>séquence  qui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vient de s’achever entre « facile » « sensation d’effort » « essoufflé » « épuisé » et les régulations éventuelles.</w:t>
            </w:r>
          </w:p>
        </w:tc>
      </w:tr>
      <w:tr w:rsidR="00552F80" w:rsidRPr="006821F8" w14:paraId="1D98244F" w14:textId="77777777" w:rsidTr="005D3EC3">
        <w:trPr>
          <w:cantSplit/>
          <w:trHeight w:val="312"/>
        </w:trPr>
        <w:tc>
          <w:tcPr>
            <w:tcW w:w="2835" w:type="dxa"/>
            <w:vAlign w:val="center"/>
          </w:tcPr>
          <w:p w14:paraId="7824FB52" w14:textId="77777777" w:rsidR="00552F80" w:rsidRPr="006821F8" w:rsidRDefault="00552F80" w:rsidP="005D3EC3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  <w:r w:rsidRPr="006821F8">
              <w:rPr>
                <w:rFonts w:ascii="Arial" w:hAnsi="Arial" w:cs="Arial"/>
                <w:b w:val="0"/>
                <w:sz w:val="20"/>
              </w:rPr>
              <w:t>Éléments à évaluer</w:t>
            </w:r>
          </w:p>
        </w:tc>
        <w:tc>
          <w:tcPr>
            <w:tcW w:w="2693" w:type="dxa"/>
            <w:vAlign w:val="center"/>
          </w:tcPr>
          <w:p w14:paraId="3DCA63A3" w14:textId="77777777" w:rsidR="00552F80" w:rsidRPr="00B66115" w:rsidRDefault="00552F80" w:rsidP="005D3EC3">
            <w:pPr>
              <w:jc w:val="center"/>
              <w:rPr>
                <w:rFonts w:ascii="Arial" w:hAnsi="Arial" w:cs="Arial"/>
                <w:sz w:val="20"/>
                <w:highlight w:val="red"/>
              </w:rPr>
            </w:pPr>
            <w:r w:rsidRPr="00B66115">
              <w:rPr>
                <w:rFonts w:ascii="Arial" w:hAnsi="Arial" w:cs="Arial"/>
                <w:sz w:val="20"/>
                <w:highlight w:val="red"/>
              </w:rPr>
              <w:t xml:space="preserve">Degré d'acquisition 1  </w:t>
            </w:r>
          </w:p>
        </w:tc>
        <w:tc>
          <w:tcPr>
            <w:tcW w:w="2977" w:type="dxa"/>
            <w:vAlign w:val="center"/>
          </w:tcPr>
          <w:p w14:paraId="185D3EF5" w14:textId="77777777" w:rsidR="00552F80" w:rsidRPr="00B66115" w:rsidRDefault="00552F80" w:rsidP="005D3EC3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B66115">
              <w:rPr>
                <w:rFonts w:ascii="Arial" w:hAnsi="Arial" w:cs="Arial"/>
                <w:sz w:val="20"/>
                <w:highlight w:val="yellow"/>
              </w:rPr>
              <w:t xml:space="preserve">Degré 2 </w:t>
            </w:r>
          </w:p>
        </w:tc>
        <w:tc>
          <w:tcPr>
            <w:tcW w:w="3260" w:type="dxa"/>
            <w:vAlign w:val="center"/>
          </w:tcPr>
          <w:p w14:paraId="4C44EF35" w14:textId="77777777" w:rsidR="00552F80" w:rsidRPr="00B66115" w:rsidRDefault="00552F80" w:rsidP="005D3EC3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B66115">
              <w:rPr>
                <w:rFonts w:ascii="Arial" w:hAnsi="Arial" w:cs="Arial"/>
                <w:sz w:val="20"/>
                <w:highlight w:val="green"/>
              </w:rPr>
              <w:t xml:space="preserve">Degré 3 </w:t>
            </w:r>
          </w:p>
        </w:tc>
        <w:tc>
          <w:tcPr>
            <w:tcW w:w="3477" w:type="dxa"/>
            <w:vAlign w:val="center"/>
          </w:tcPr>
          <w:p w14:paraId="0B99928F" w14:textId="77777777" w:rsidR="00552F80" w:rsidRPr="00B66115" w:rsidRDefault="00552F80" w:rsidP="005D3EC3">
            <w:pPr>
              <w:jc w:val="center"/>
              <w:rPr>
                <w:rFonts w:ascii="Arial" w:hAnsi="Arial" w:cs="Arial"/>
                <w:sz w:val="20"/>
                <w:highlight w:val="darkGreen"/>
              </w:rPr>
            </w:pPr>
            <w:r w:rsidRPr="00B66115">
              <w:rPr>
                <w:rFonts w:ascii="Arial" w:hAnsi="Arial" w:cs="Arial"/>
                <w:sz w:val="20"/>
                <w:highlight w:val="darkGreen"/>
              </w:rPr>
              <w:t xml:space="preserve">Degré 4 </w:t>
            </w:r>
          </w:p>
        </w:tc>
      </w:tr>
      <w:tr w:rsidR="00552F80" w:rsidRPr="006821F8" w14:paraId="5D76BB93" w14:textId="77777777" w:rsidTr="005D3EC3">
        <w:trPr>
          <w:trHeight w:val="1328"/>
        </w:trPr>
        <w:tc>
          <w:tcPr>
            <w:tcW w:w="2835" w:type="dxa"/>
            <w:vAlign w:val="center"/>
          </w:tcPr>
          <w:p w14:paraId="70B5B28E" w14:textId="77777777" w:rsidR="00552F80" w:rsidRPr="006821F8" w:rsidRDefault="00552F80" w:rsidP="005D3EC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821F8">
              <w:rPr>
                <w:bCs/>
                <w:color w:val="auto"/>
                <w:sz w:val="20"/>
                <w:szCs w:val="20"/>
              </w:rPr>
              <w:t>Produire</w:t>
            </w:r>
            <w:r>
              <w:rPr>
                <w:bCs/>
                <w:color w:val="auto"/>
                <w:sz w:val="20"/>
                <w:szCs w:val="20"/>
              </w:rPr>
              <w:t xml:space="preserve"> /8</w:t>
            </w:r>
          </w:p>
        </w:tc>
        <w:tc>
          <w:tcPr>
            <w:tcW w:w="2693" w:type="dxa"/>
            <w:vAlign w:val="center"/>
          </w:tcPr>
          <w:p w14:paraId="058FD2D9" w14:textId="77777777" w:rsidR="00552F80" w:rsidRPr="00CA75D6" w:rsidRDefault="00552F80" w:rsidP="005D3EC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CA75D6">
              <w:rPr>
                <w:rFonts w:ascii="Arial" w:hAnsi="Arial" w:cs="Arial"/>
                <w:sz w:val="20"/>
              </w:rPr>
              <w:t>Objectif incohérent ou non expliqué</w:t>
            </w:r>
          </w:p>
          <w:p w14:paraId="7998799D" w14:textId="77777777" w:rsidR="00552F80" w:rsidRPr="00CA75D6" w:rsidRDefault="00552F80" w:rsidP="005D3EC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CA75D6">
              <w:rPr>
                <w:rFonts w:ascii="Arial" w:hAnsi="Arial" w:cs="Arial"/>
                <w:sz w:val="20"/>
              </w:rPr>
              <w:t>Les choix de % de VMA, temps de course, et temps de récupération sont incohérents ou copiés</w:t>
            </w:r>
          </w:p>
          <w:p w14:paraId="697E715F" w14:textId="77777777" w:rsidR="00552F80" w:rsidRPr="00CA75D6" w:rsidRDefault="00552F80" w:rsidP="005D3EC3">
            <w:pPr>
              <w:spacing w:before="60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CA75D6">
              <w:rPr>
                <w:rFonts w:ascii="Arial" w:hAnsi="Arial" w:cs="Arial"/>
                <w:color w:val="FF0000"/>
                <w:sz w:val="20"/>
              </w:rPr>
              <w:t>0 à 1</w:t>
            </w:r>
          </w:p>
          <w:p w14:paraId="32D034BC" w14:textId="77777777" w:rsidR="00552F80" w:rsidRPr="00CA75D6" w:rsidRDefault="00552F80" w:rsidP="005D3EC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à 8 min</w:t>
            </w:r>
            <w:r w:rsidRPr="00CA75D6">
              <w:rPr>
                <w:rFonts w:ascii="Arial" w:hAnsi="Arial" w:cs="Arial"/>
                <w:sz w:val="20"/>
              </w:rPr>
              <w:t xml:space="preserve"> non validées</w:t>
            </w:r>
          </w:p>
          <w:p w14:paraId="7883E75C" w14:textId="77777777" w:rsidR="00552F80" w:rsidRPr="00B66115" w:rsidRDefault="00552F80" w:rsidP="005D3EC3">
            <w:pPr>
              <w:spacing w:before="60"/>
              <w:jc w:val="center"/>
              <w:rPr>
                <w:rFonts w:ascii="Arial" w:hAnsi="Arial" w:cs="Arial"/>
                <w:color w:val="FF0000"/>
                <w:sz w:val="20"/>
                <w:highlight w:val="red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774FB72B" w14:textId="77777777" w:rsidR="00552F80" w:rsidRPr="00CA75D6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 w:rsidRPr="00CA75D6">
              <w:rPr>
                <w:rFonts w:ascii="Arial" w:eastAsia="Times New Roman" w:hAnsi="Arial" w:cs="Arial"/>
                <w:sz w:val="20"/>
              </w:rPr>
              <w:t>Objectif lié à un mobile personnel vague et non identifié</w:t>
            </w:r>
          </w:p>
          <w:p w14:paraId="4832EB79" w14:textId="77777777" w:rsidR="00552F80" w:rsidRPr="00CA75D6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 w:rsidRPr="00CA75D6">
              <w:rPr>
                <w:rFonts w:ascii="Arial" w:eastAsia="Times New Roman" w:hAnsi="Arial" w:cs="Arial"/>
                <w:sz w:val="20"/>
              </w:rPr>
              <w:t>Les choix chiffrés sont partiellement justes</w:t>
            </w:r>
          </w:p>
          <w:p w14:paraId="64806EBA" w14:textId="77777777" w:rsidR="00552F80" w:rsidRPr="00CA75D6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color w:val="FF0000"/>
                <w:sz w:val="20"/>
              </w:rPr>
            </w:pPr>
            <w:r w:rsidRPr="00CA75D6">
              <w:rPr>
                <w:rFonts w:ascii="Arial" w:eastAsia="Times New Roman" w:hAnsi="Arial" w:cs="Arial"/>
                <w:color w:val="FF0000"/>
                <w:sz w:val="20"/>
              </w:rPr>
              <w:t>1 à 2</w:t>
            </w:r>
          </w:p>
          <w:p w14:paraId="2E24B362" w14:textId="77777777" w:rsidR="00552F80" w:rsidRPr="00CA75D6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5</w:t>
            </w:r>
            <w:r w:rsidRPr="00CA75D6">
              <w:rPr>
                <w:rFonts w:ascii="Arial" w:eastAsia="Times New Roman" w:hAnsi="Arial" w:cs="Arial"/>
                <w:sz w:val="20"/>
              </w:rPr>
              <w:t xml:space="preserve"> à </w:t>
            </w:r>
            <w:r>
              <w:rPr>
                <w:rFonts w:ascii="Arial" w:eastAsia="Times New Roman" w:hAnsi="Arial" w:cs="Arial"/>
                <w:sz w:val="20"/>
              </w:rPr>
              <w:t>6</w:t>
            </w:r>
            <w:r w:rsidRPr="00CA75D6">
              <w:rPr>
                <w:rFonts w:ascii="Arial" w:eastAsia="Times New Roman" w:hAnsi="Arial" w:cs="Arial"/>
                <w:sz w:val="20"/>
              </w:rPr>
              <w:t xml:space="preserve"> min non validées</w:t>
            </w:r>
          </w:p>
          <w:p w14:paraId="510279F6" w14:textId="77777777" w:rsidR="00552F80" w:rsidRPr="00B66115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color w:val="FF0000"/>
                <w:sz w:val="20"/>
                <w:highlight w:val="yellow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670DB785" w14:textId="77777777" w:rsidR="00552F80" w:rsidRPr="00CA75D6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CA75D6">
              <w:rPr>
                <w:rFonts w:cs="Arial"/>
                <w:color w:val="auto"/>
              </w:rPr>
              <w:t xml:space="preserve">Objectif cohérent mais le mobile personnel n’est pas encore personnalisé et défini </w:t>
            </w:r>
          </w:p>
          <w:p w14:paraId="14464B67" w14:textId="77777777" w:rsidR="00552F80" w:rsidRPr="00CA75D6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CA75D6">
              <w:rPr>
                <w:rFonts w:cs="Arial"/>
                <w:color w:val="auto"/>
              </w:rPr>
              <w:t xml:space="preserve">Les choix chiffrés sont cohérents avec l’objectif </w:t>
            </w:r>
          </w:p>
          <w:p w14:paraId="67C758FA" w14:textId="77777777" w:rsidR="00552F80" w:rsidRPr="00CA75D6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FF0000"/>
              </w:rPr>
            </w:pPr>
            <w:r w:rsidRPr="00CA75D6">
              <w:rPr>
                <w:rFonts w:cs="Arial"/>
                <w:color w:val="FF0000"/>
              </w:rPr>
              <w:t>2 à 3</w:t>
            </w:r>
          </w:p>
          <w:p w14:paraId="65AD4F40" w14:textId="77777777" w:rsidR="00552F80" w:rsidRPr="00CA75D6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CA75D6">
              <w:rPr>
                <w:rFonts w:cs="Arial"/>
                <w:color w:val="auto"/>
              </w:rPr>
              <w:t xml:space="preserve">3 à </w:t>
            </w:r>
            <w:r>
              <w:rPr>
                <w:rFonts w:cs="Arial"/>
                <w:color w:val="auto"/>
              </w:rPr>
              <w:t>4</w:t>
            </w:r>
            <w:r w:rsidRPr="00CA75D6">
              <w:rPr>
                <w:rFonts w:cs="Arial"/>
                <w:color w:val="auto"/>
              </w:rPr>
              <w:t>min non validées</w:t>
            </w:r>
          </w:p>
          <w:p w14:paraId="44C641B0" w14:textId="77777777" w:rsidR="00552F80" w:rsidRPr="00B66115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FF0000"/>
                <w:highlight w:val="green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3477" w:type="dxa"/>
            <w:vAlign w:val="center"/>
          </w:tcPr>
          <w:p w14:paraId="04D2C4F3" w14:textId="77777777" w:rsidR="00552F80" w:rsidRPr="00CA75D6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CA75D6">
              <w:rPr>
                <w:rFonts w:cs="Arial"/>
                <w:color w:val="auto"/>
              </w:rPr>
              <w:t>Objectif lié à un mobile personnel identifié et précis</w:t>
            </w:r>
          </w:p>
          <w:p w14:paraId="24DA40BF" w14:textId="77777777" w:rsidR="00552F80" w:rsidRPr="00CA75D6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CA75D6">
              <w:rPr>
                <w:rFonts w:cs="Arial"/>
                <w:color w:val="auto"/>
              </w:rPr>
              <w:t>Les choix chiffrés sont en cohérence en référence aux connaissances sur l’entraînement abordé et témoignent d’une recherche d’effort</w:t>
            </w:r>
          </w:p>
          <w:p w14:paraId="63F2A824" w14:textId="77777777" w:rsidR="00552F80" w:rsidRPr="00CA75D6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FF0000"/>
              </w:rPr>
            </w:pPr>
            <w:r w:rsidRPr="00CA75D6">
              <w:rPr>
                <w:rFonts w:cs="Arial"/>
                <w:color w:val="FF0000"/>
              </w:rPr>
              <w:t>3 à 4</w:t>
            </w:r>
          </w:p>
          <w:p w14:paraId="6F29553A" w14:textId="77777777" w:rsidR="00552F80" w:rsidRPr="00CA75D6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CA75D6">
              <w:rPr>
                <w:rFonts w:cs="Arial"/>
                <w:color w:val="auto"/>
              </w:rPr>
              <w:t>0 à 2 min non validées</w:t>
            </w:r>
          </w:p>
          <w:p w14:paraId="1FB77E58" w14:textId="77777777" w:rsidR="00552F80" w:rsidRPr="00B66115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FF0000"/>
                <w:highlight w:val="darkGreen"/>
              </w:rPr>
            </w:pPr>
            <w:r w:rsidRPr="00CA75D6">
              <w:rPr>
                <w:rFonts w:cs="Arial"/>
                <w:color w:val="FF0000"/>
              </w:rPr>
              <w:t>4</w:t>
            </w:r>
          </w:p>
        </w:tc>
      </w:tr>
      <w:tr w:rsidR="00552F80" w:rsidRPr="006821F8" w14:paraId="2CA7504D" w14:textId="77777777" w:rsidTr="005D3EC3">
        <w:trPr>
          <w:trHeight w:val="18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ECCA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Analyser</w:t>
            </w:r>
            <w:r>
              <w:rPr>
                <w:rFonts w:ascii="Arial" w:hAnsi="Arial" w:cs="Arial"/>
                <w:sz w:val="20"/>
              </w:rPr>
              <w:t xml:space="preserve"> 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AEC" w14:textId="77777777" w:rsidR="00552F80" w:rsidRDefault="00552F80" w:rsidP="005D3EC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 identification des ressentis</w:t>
            </w:r>
          </w:p>
          <w:p w14:paraId="7CF96BE5" w14:textId="77777777" w:rsidR="00552F80" w:rsidRDefault="00552F80" w:rsidP="005D3EC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Régulations absentes ou incohérentes </w:t>
            </w:r>
          </w:p>
          <w:p w14:paraId="07AD1A12" w14:textId="77777777" w:rsidR="00552F80" w:rsidRDefault="00552F80" w:rsidP="005D3EC3">
            <w:pPr>
              <w:spacing w:before="6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Beaucoup de « facile » sans régulation ou « épuisé avec facilitation excessive</w:t>
            </w:r>
          </w:p>
          <w:p w14:paraId="16CDCAFB" w14:textId="77777777" w:rsidR="00552F80" w:rsidRPr="004C5B57" w:rsidRDefault="00552F80" w:rsidP="005D3EC3">
            <w:pPr>
              <w:spacing w:before="6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 à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B9A0" w14:textId="77777777" w:rsidR="00552F80" w:rsidRPr="006821F8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 w:rsidRPr="006821F8">
              <w:rPr>
                <w:rFonts w:ascii="Arial" w:eastAsia="Times New Roman" w:hAnsi="Arial" w:cs="Arial"/>
                <w:sz w:val="20"/>
              </w:rPr>
              <w:t>Identification partielle et/</w:t>
            </w:r>
            <w:r>
              <w:rPr>
                <w:rFonts w:ascii="Arial" w:eastAsia="Times New Roman" w:hAnsi="Arial" w:cs="Arial"/>
                <w:sz w:val="20"/>
              </w:rPr>
              <w:t>ou erronée</w:t>
            </w:r>
            <w:r w:rsidRPr="006821F8">
              <w:rPr>
                <w:rFonts w:ascii="Arial" w:eastAsia="Times New Roman" w:hAnsi="Arial" w:cs="Arial"/>
                <w:sz w:val="20"/>
              </w:rPr>
              <w:t xml:space="preserve"> des ressentis</w:t>
            </w:r>
          </w:p>
          <w:p w14:paraId="010E230B" w14:textId="77777777" w:rsidR="00552F80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 w:rsidRPr="006821F8">
              <w:rPr>
                <w:rFonts w:ascii="Arial" w:eastAsia="Times New Roman" w:hAnsi="Arial" w:cs="Arial"/>
                <w:sz w:val="20"/>
              </w:rPr>
              <w:t xml:space="preserve">Régulations inadaptées au regard des indicateurs relevés </w:t>
            </w:r>
          </w:p>
          <w:p w14:paraId="1663107A" w14:textId="77777777" w:rsidR="00552F80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L’élève est en deçà de ses capacités</w:t>
            </w:r>
          </w:p>
          <w:p w14:paraId="717BC3A1" w14:textId="77777777" w:rsidR="00552F80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Souvent « facile » ou « sensation d’effort »</w:t>
            </w:r>
          </w:p>
          <w:p w14:paraId="340CDC61" w14:textId="77777777" w:rsidR="00552F80" w:rsidRPr="004C5B57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color w:val="FF0000"/>
                <w:sz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</w:rPr>
              <w:t>1 à 2</w:t>
            </w:r>
          </w:p>
          <w:p w14:paraId="6C6F5239" w14:textId="77777777" w:rsidR="00552F80" w:rsidRPr="006821F8" w:rsidRDefault="00552F80" w:rsidP="005D3EC3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3E82" w14:textId="77777777" w:rsidR="00552F80" w:rsidRPr="006821F8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Identification des ressentis</w:t>
            </w:r>
          </w:p>
          <w:p w14:paraId="2214C6FD" w14:textId="77777777" w:rsidR="00552F80" w:rsidRPr="006821F8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Relevé de données chiffrées exploitables</w:t>
            </w:r>
          </w:p>
          <w:p w14:paraId="12228F83" w14:textId="77777777" w:rsidR="00552F80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 xml:space="preserve">Régulations </w:t>
            </w:r>
            <w:r>
              <w:rPr>
                <w:rFonts w:cs="Arial"/>
                <w:color w:val="auto"/>
              </w:rPr>
              <w:t>en rapport avec les ressentis</w:t>
            </w:r>
          </w:p>
          <w:p w14:paraId="52E83F86" w14:textId="77777777" w:rsidR="00552F80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>De – en – de « facile » sauf en récup de fin, régule si après « épuisé » il se rend compte qu’il ne va pas terminer</w:t>
            </w:r>
          </w:p>
          <w:p w14:paraId="32D9D498" w14:textId="77777777" w:rsidR="00552F80" w:rsidRPr="004C5B57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 à 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87AF" w14:textId="77777777" w:rsidR="00552F80" w:rsidRPr="006821F8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 xml:space="preserve">Identification </w:t>
            </w:r>
            <w:r>
              <w:rPr>
                <w:rFonts w:cs="Arial"/>
                <w:color w:val="auto"/>
              </w:rPr>
              <w:t>précise</w:t>
            </w:r>
          </w:p>
          <w:p w14:paraId="270B34D2" w14:textId="5B94C1A9" w:rsidR="00552F80" w:rsidRPr="006821F8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Régulations pertinentes à partir du croisement d’indicateurs chiffrés et de ressentis</w:t>
            </w:r>
            <w:r w:rsidRPr="006821F8">
              <w:rPr>
                <w:rFonts w:cs="Arial"/>
                <w:strike/>
                <w:color w:val="auto"/>
              </w:rPr>
              <w:t xml:space="preserve"> </w:t>
            </w:r>
            <w:r w:rsidRPr="006821F8">
              <w:rPr>
                <w:rFonts w:cs="Arial"/>
                <w:color w:val="auto"/>
              </w:rPr>
              <w:t>sélectionnés</w:t>
            </w:r>
            <w:r>
              <w:rPr>
                <w:rFonts w:cs="Arial"/>
                <w:color w:val="auto"/>
              </w:rPr>
              <w:t xml:space="preserve"> ou </w:t>
            </w:r>
            <w:r w:rsidR="006A149A">
              <w:rPr>
                <w:rFonts w:cs="Arial"/>
                <w:color w:val="auto"/>
              </w:rPr>
              <w:t>absence de</w:t>
            </w:r>
            <w:r>
              <w:rPr>
                <w:rFonts w:cs="Arial"/>
                <w:color w:val="auto"/>
              </w:rPr>
              <w:t xml:space="preserve"> régulation car la séance est travaillée et éprouvée au cours du cycle</w:t>
            </w:r>
          </w:p>
          <w:p w14:paraId="73F61382" w14:textId="6076DD17" w:rsidR="00552F80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 xml:space="preserve">L’élève est dans l’effort </w:t>
            </w:r>
            <w:r w:rsidR="006A149A">
              <w:rPr>
                <w:rFonts w:cs="Arial"/>
                <w:i/>
                <w:color w:val="auto"/>
              </w:rPr>
              <w:t>cible,</w:t>
            </w:r>
            <w:r>
              <w:rPr>
                <w:rFonts w:cs="Arial"/>
                <w:i/>
                <w:color w:val="auto"/>
              </w:rPr>
              <w:t xml:space="preserve"> il est à ses limites et modifie d’1km/h pour s’en sortir si épuisé</w:t>
            </w:r>
          </w:p>
          <w:p w14:paraId="42575D69" w14:textId="77777777" w:rsidR="00552F80" w:rsidRPr="004C5B57" w:rsidRDefault="00552F80" w:rsidP="005D3EC3">
            <w:pPr>
              <w:pStyle w:val="Corpsdetexte"/>
              <w:spacing w:before="60" w:after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 à 4</w:t>
            </w:r>
          </w:p>
        </w:tc>
      </w:tr>
    </w:tbl>
    <w:p w14:paraId="3F47198D" w14:textId="77777777" w:rsidR="00ED632D" w:rsidRDefault="00ED632D" w:rsidP="00552F80">
      <w:pPr>
        <w:spacing w:after="200" w:line="276" w:lineRule="auto"/>
        <w:rPr>
          <w:rFonts w:ascii="Arial" w:hAnsi="Arial" w:cs="Arial"/>
          <w:b/>
          <w:color w:val="000000"/>
          <w:sz w:val="20"/>
        </w:rPr>
      </w:pPr>
    </w:p>
    <w:p w14:paraId="0AED8EC9" w14:textId="32173488" w:rsidR="00552F80" w:rsidRPr="000A4DEA" w:rsidRDefault="00552F80" w:rsidP="00552F80">
      <w:pPr>
        <w:spacing w:after="200" w:line="276" w:lineRule="auto"/>
        <w:rPr>
          <w:rFonts w:ascii="Arial" w:hAnsi="Arial" w:cs="Arial"/>
          <w:b/>
          <w:color w:val="000000"/>
          <w:sz w:val="20"/>
        </w:rPr>
      </w:pPr>
      <w:r w:rsidRPr="006821F8">
        <w:rPr>
          <w:b/>
          <w:sz w:val="22"/>
          <w:szCs w:val="22"/>
        </w:rPr>
        <w:lastRenderedPageBreak/>
        <w:t>Repères d’évaluation de l’AFL2</w:t>
      </w:r>
      <w:r>
        <w:rPr>
          <w:b/>
          <w:sz w:val="22"/>
          <w:szCs w:val="22"/>
        </w:rPr>
        <w:t> :</w:t>
      </w:r>
      <w:r w:rsidRPr="006821F8">
        <w:rPr>
          <w:b/>
          <w:sz w:val="22"/>
          <w:szCs w:val="22"/>
        </w:rPr>
        <w:t xml:space="preserve"> </w:t>
      </w:r>
      <w:r w:rsidRPr="006821F8">
        <w:rPr>
          <w:bCs/>
          <w:sz w:val="22"/>
          <w:szCs w:val="22"/>
        </w:rPr>
        <w:t>« S’entraîner, individuellement ou collectivement, pour développer ses ressources et s’entretenir en fonction des effets recherchés »</w:t>
      </w:r>
    </w:p>
    <w:p w14:paraId="568B5A1C" w14:textId="77777777" w:rsidR="00552F80" w:rsidRPr="004C5B57" w:rsidRDefault="00552F80" w:rsidP="00552F80">
      <w:pPr>
        <w:spacing w:after="200" w:line="276" w:lineRule="auto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AFL 2 déclinée dans l’activité : « s’entraîner, régulièrement pour affiner son objectif de course et déterminer ses temps de course, allures en %de VMA et temps de récupération »</w:t>
      </w:r>
    </w:p>
    <w:p w14:paraId="3B0CBAA4" w14:textId="77777777" w:rsidR="00552F80" w:rsidRPr="006821F8" w:rsidRDefault="00552F80" w:rsidP="00552F80">
      <w:pPr>
        <w:pStyle w:val="Default"/>
        <w:rPr>
          <w:bCs/>
          <w:sz w:val="20"/>
          <w:szCs w:val="20"/>
        </w:rPr>
      </w:pPr>
      <w:r w:rsidRPr="006821F8">
        <w:rPr>
          <w:bCs/>
          <w:sz w:val="22"/>
          <w:szCs w:val="22"/>
        </w:rPr>
        <w:t>A</w:t>
      </w:r>
      <w:r w:rsidRPr="006821F8">
        <w:rPr>
          <w:bCs/>
          <w:sz w:val="20"/>
          <w:szCs w:val="20"/>
        </w:rPr>
        <w:t xml:space="preserve">ppui possible sur le carnet de suivi </w:t>
      </w:r>
      <w:r>
        <w:rPr>
          <w:bCs/>
          <w:sz w:val="20"/>
          <w:szCs w:val="20"/>
        </w:rPr>
        <w:t>d’entraînement</w:t>
      </w:r>
    </w:p>
    <w:p w14:paraId="7260F094" w14:textId="77777777" w:rsidR="00552F80" w:rsidRPr="006821F8" w:rsidRDefault="00552F80" w:rsidP="00552F80">
      <w:pPr>
        <w:pStyle w:val="Default"/>
        <w:ind w:left="426"/>
        <w:rPr>
          <w:b/>
          <w:sz w:val="20"/>
          <w:szCs w:val="20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  <w:gridCol w:w="3685"/>
        <w:gridCol w:w="3686"/>
      </w:tblGrid>
      <w:tr w:rsidR="00552F80" w:rsidRPr="006821F8" w14:paraId="435D3F97" w14:textId="77777777" w:rsidTr="005D3EC3">
        <w:tc>
          <w:tcPr>
            <w:tcW w:w="3685" w:type="dxa"/>
            <w:shd w:val="clear" w:color="auto" w:fill="auto"/>
            <w:vAlign w:val="center"/>
          </w:tcPr>
          <w:p w14:paraId="0BFA5727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Degré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EE3089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Degré 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C8C88B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Degré 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C24EFF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Degré 4</w:t>
            </w:r>
          </w:p>
        </w:tc>
      </w:tr>
      <w:tr w:rsidR="00552F80" w:rsidRPr="006821F8" w14:paraId="4271DFE1" w14:textId="77777777" w:rsidTr="005D3EC3">
        <w:trPr>
          <w:trHeight w:val="1646"/>
        </w:trPr>
        <w:tc>
          <w:tcPr>
            <w:tcW w:w="3685" w:type="dxa"/>
            <w:shd w:val="clear" w:color="auto" w:fill="auto"/>
          </w:tcPr>
          <w:p w14:paraId="6B5D4B1C" w14:textId="77777777" w:rsidR="00552F80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Echauffement non préparé, survolé</w:t>
            </w:r>
          </w:p>
          <w:p w14:paraId="75176768" w14:textId="77777777" w:rsidR="00552F80" w:rsidRPr="006821F8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Choix de l’élève incohérents ou non identifiés sur le carnet</w:t>
            </w:r>
          </w:p>
          <w:p w14:paraId="1DE6F2E6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012D9B" w14:textId="77777777" w:rsidR="00552F80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conçoit/copie une séquence de travail inadaptée à ses ressources et/ou au thème d’entrainement choisi</w:t>
            </w:r>
          </w:p>
          <w:p w14:paraId="083F7B2A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entraînements sont réalisés partiellement (s’arrête)</w:t>
            </w:r>
          </w:p>
        </w:tc>
        <w:tc>
          <w:tcPr>
            <w:tcW w:w="3686" w:type="dxa"/>
            <w:shd w:val="clear" w:color="auto" w:fill="auto"/>
          </w:tcPr>
          <w:p w14:paraId="0664A44C" w14:textId="77777777" w:rsidR="00552F80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Echauffement simple (tours de terrains) ou copié</w:t>
            </w:r>
          </w:p>
          <w:p w14:paraId="5DFFA743" w14:textId="77777777" w:rsidR="00552F80" w:rsidRPr="006821F8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Mise en relation incohérente des indicateurs relevés et des effets recherchés</w:t>
            </w:r>
          </w:p>
          <w:p w14:paraId="33C0A343" w14:textId="77777777" w:rsidR="00552F80" w:rsidRPr="006821F8" w:rsidRDefault="00552F80" w:rsidP="005D3EC3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14:paraId="004406BA" w14:textId="77777777" w:rsidR="00552F80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reproduit de manière stéréotypée et avec quelques incohérences un projet d’entrainement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CC2C8B0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entraînements sont réalisés sans chercher à progresser, sans régulation</w:t>
            </w:r>
          </w:p>
          <w:p w14:paraId="6799EDD7" w14:textId="77777777" w:rsidR="00552F80" w:rsidRPr="006821F8" w:rsidRDefault="00552F80" w:rsidP="005D3EC3">
            <w:pPr>
              <w:pStyle w:val="Paragraphedelis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7463A88" w14:textId="77777777" w:rsidR="00552F80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Echauffement construit durant les leçons, progressif </w:t>
            </w:r>
          </w:p>
          <w:p w14:paraId="7C403CAF" w14:textId="77777777" w:rsidR="00552F80" w:rsidRPr="006821F8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Construction de séquences de travail cohérentes à partir de paramètres simples</w:t>
            </w:r>
            <w:r>
              <w:rPr>
                <w:rFonts w:ascii="Arial" w:hAnsi="Arial" w:cs="Arial"/>
                <w:sz w:val="20"/>
              </w:rPr>
              <w:t>, l’élève reproduit les propositions du carnet d’entraînement sans les personnaliser</w:t>
            </w:r>
          </w:p>
          <w:p w14:paraId="4764F824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904C95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conçoit de manière pertinente son projet d’entrainement</w:t>
            </w:r>
          </w:p>
        </w:tc>
        <w:tc>
          <w:tcPr>
            <w:tcW w:w="3686" w:type="dxa"/>
            <w:shd w:val="clear" w:color="auto" w:fill="auto"/>
          </w:tcPr>
          <w:p w14:paraId="45D698E4" w14:textId="77777777" w:rsidR="00552F80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Echauffement construit, personnalisé, progressif, mène l’échauffement</w:t>
            </w:r>
          </w:p>
          <w:p w14:paraId="54B43579" w14:textId="77777777" w:rsidR="00552F80" w:rsidRPr="006821F8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Personnalisation et régulations adaptées des paramètres de la séquence de travail.</w:t>
            </w:r>
          </w:p>
          <w:p w14:paraId="20744A36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4FB8A2" w14:textId="77777777" w:rsidR="00552F80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conçoit, régule et justifie son projet d’entrainement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156AEF7A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Cherche à tester ses limites durant les entraînements</w:t>
            </w:r>
          </w:p>
        </w:tc>
      </w:tr>
    </w:tbl>
    <w:p w14:paraId="25A69C4C" w14:textId="77777777" w:rsidR="00552F80" w:rsidRPr="006821F8" w:rsidRDefault="00552F80" w:rsidP="00552F80">
      <w:pPr>
        <w:pStyle w:val="Default"/>
        <w:ind w:left="426"/>
        <w:rPr>
          <w:color w:val="auto"/>
          <w:sz w:val="20"/>
          <w:szCs w:val="20"/>
        </w:rPr>
      </w:pPr>
    </w:p>
    <w:p w14:paraId="03C6D61F" w14:textId="77777777" w:rsidR="00552F80" w:rsidRPr="006821F8" w:rsidRDefault="00552F80" w:rsidP="00552F80">
      <w:pPr>
        <w:pStyle w:val="Default"/>
        <w:rPr>
          <w:b/>
          <w:sz w:val="22"/>
          <w:szCs w:val="22"/>
        </w:rPr>
      </w:pPr>
      <w:r w:rsidRPr="006821F8">
        <w:rPr>
          <w:b/>
          <w:sz w:val="22"/>
          <w:szCs w:val="22"/>
        </w:rPr>
        <w:t>Repères d’évaluation de l’AFL3</w:t>
      </w:r>
      <w:r>
        <w:rPr>
          <w:b/>
          <w:sz w:val="22"/>
          <w:szCs w:val="22"/>
        </w:rPr>
        <w:t> :</w:t>
      </w:r>
      <w:r w:rsidRPr="006821F8">
        <w:rPr>
          <w:b/>
          <w:sz w:val="22"/>
          <w:szCs w:val="22"/>
        </w:rPr>
        <w:t xml:space="preserve"> </w:t>
      </w:r>
      <w:r w:rsidRPr="006821F8">
        <w:rPr>
          <w:bCs/>
          <w:sz w:val="22"/>
          <w:szCs w:val="22"/>
        </w:rPr>
        <w:t>« Coopérer pour faire progresser »</w:t>
      </w:r>
      <w:r>
        <w:rPr>
          <w:bCs/>
          <w:sz w:val="22"/>
          <w:szCs w:val="22"/>
        </w:rPr>
        <w:t xml:space="preserve"> Rôle observateur/coach</w:t>
      </w:r>
    </w:p>
    <w:p w14:paraId="7E1113D0" w14:textId="77777777" w:rsidR="00552F80" w:rsidRPr="006821F8" w:rsidRDefault="00552F80" w:rsidP="00552F80">
      <w:pPr>
        <w:pStyle w:val="Default"/>
        <w:ind w:left="426"/>
        <w:rPr>
          <w:b/>
          <w:sz w:val="20"/>
          <w:szCs w:val="20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  <w:gridCol w:w="3685"/>
        <w:gridCol w:w="3686"/>
      </w:tblGrid>
      <w:tr w:rsidR="00552F80" w:rsidRPr="006821F8" w14:paraId="7B5556B7" w14:textId="77777777" w:rsidTr="005D3EC3">
        <w:tc>
          <w:tcPr>
            <w:tcW w:w="3685" w:type="dxa"/>
            <w:shd w:val="clear" w:color="auto" w:fill="auto"/>
            <w:vAlign w:val="center"/>
          </w:tcPr>
          <w:p w14:paraId="70320760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21F8">
              <w:rPr>
                <w:rFonts w:ascii="Arial" w:hAnsi="Arial" w:cs="Arial"/>
                <w:b/>
                <w:sz w:val="20"/>
              </w:rPr>
              <w:t>Degré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51CE9B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21F8">
              <w:rPr>
                <w:rFonts w:ascii="Arial" w:hAnsi="Arial" w:cs="Arial"/>
                <w:b/>
                <w:sz w:val="20"/>
              </w:rPr>
              <w:t>Degré 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6FFD54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21F8">
              <w:rPr>
                <w:rFonts w:ascii="Arial" w:hAnsi="Arial" w:cs="Arial"/>
                <w:b/>
                <w:sz w:val="20"/>
              </w:rPr>
              <w:t>Degré 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56645E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21F8">
              <w:rPr>
                <w:rFonts w:ascii="Arial" w:hAnsi="Arial" w:cs="Arial"/>
                <w:b/>
                <w:sz w:val="20"/>
              </w:rPr>
              <w:t>Degré 4</w:t>
            </w:r>
          </w:p>
        </w:tc>
      </w:tr>
      <w:tr w:rsidR="00552F80" w:rsidRPr="006821F8" w14:paraId="0D97BD3C" w14:textId="77777777" w:rsidTr="005D3EC3">
        <w:trPr>
          <w:trHeight w:val="1131"/>
        </w:trPr>
        <w:tc>
          <w:tcPr>
            <w:tcW w:w="3685" w:type="dxa"/>
            <w:shd w:val="clear" w:color="auto" w:fill="auto"/>
            <w:vAlign w:val="center"/>
          </w:tcPr>
          <w:p w14:paraId="13ECB241" w14:textId="77777777" w:rsidR="00552F80" w:rsidRPr="006821F8" w:rsidRDefault="00552F80" w:rsidP="005D3E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L’observateur ne note pas les données, ne donne pas d’indications au coureur, est mal placé, n’est pas attentif</w:t>
            </w:r>
          </w:p>
          <w:p w14:paraId="7A7F202E" w14:textId="77777777" w:rsidR="00552F80" w:rsidRPr="006821F8" w:rsidRDefault="00552F80" w:rsidP="005D3EC3">
            <w:pPr>
              <w:pStyle w:val="Paragraphedelis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A028A3B" w14:textId="77777777" w:rsidR="00552F80" w:rsidRPr="006821F8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 xml:space="preserve">L’élève </w:t>
            </w:r>
            <w:r>
              <w:rPr>
                <w:rFonts w:ascii="Arial" w:hAnsi="Arial" w:cs="Arial"/>
                <w:sz w:val="20"/>
              </w:rPr>
              <w:t>valide aléatoirement les minutes de course, donne peu d’informations à son coureur.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7DEDA6" w14:textId="77777777" w:rsidR="00552F80" w:rsidRPr="006821F8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L’observateur note objectivement la course de son partenaire, lui donne à chaque changement de vitesse ou de récupération les infos nécessaires.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12C8A7" w14:textId="77777777" w:rsidR="00552F80" w:rsidRPr="006821F8" w:rsidRDefault="00552F80" w:rsidP="005D3EC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Idem degré 3 plus conseils pour réussir, pour progresser</w:t>
            </w:r>
          </w:p>
          <w:p w14:paraId="7BA89637" w14:textId="77777777" w:rsidR="00552F80" w:rsidRPr="006821F8" w:rsidRDefault="00552F80" w:rsidP="005D3EC3">
            <w:pPr>
              <w:pStyle w:val="Paragraphedeliste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1436703" w14:textId="77777777" w:rsidR="00552F80" w:rsidRPr="003B4A88" w:rsidRDefault="00552F80" w:rsidP="00552F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Correspondances entre degrés et points pour l’AFL2 et l’AFL3 </w:t>
      </w:r>
      <w:r w:rsidRPr="00FD4EDB">
        <w:rPr>
          <w:rFonts w:ascii="Arial" w:hAnsi="Arial" w:cs="Arial"/>
          <w:bCs/>
          <w:sz w:val="20"/>
        </w:rPr>
        <w:t>(selon choix de la répartition des points des élèves)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799"/>
        <w:gridCol w:w="1701"/>
        <w:gridCol w:w="1701"/>
        <w:gridCol w:w="1559"/>
      </w:tblGrid>
      <w:tr w:rsidR="00552F80" w:rsidRPr="008C5D4A" w14:paraId="7EE55356" w14:textId="77777777" w:rsidTr="005D3EC3">
        <w:trPr>
          <w:trHeight w:val="258"/>
        </w:trPr>
        <w:tc>
          <w:tcPr>
            <w:tcW w:w="2879" w:type="dxa"/>
          </w:tcPr>
          <w:p w14:paraId="61D3AB1D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Points choisis AFL2 / AL3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0586D40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Degré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3F170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Degré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23094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Degré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E5DE9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Degré 4</w:t>
            </w:r>
          </w:p>
        </w:tc>
      </w:tr>
      <w:tr w:rsidR="00552F80" w:rsidRPr="008C5D4A" w14:paraId="5AF9D03C" w14:textId="77777777" w:rsidTr="005D3EC3">
        <w:trPr>
          <w:trHeight w:val="194"/>
        </w:trPr>
        <w:tc>
          <w:tcPr>
            <w:tcW w:w="2879" w:type="dxa"/>
          </w:tcPr>
          <w:p w14:paraId="3EBB0413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/4pts</w:t>
            </w:r>
          </w:p>
        </w:tc>
        <w:tc>
          <w:tcPr>
            <w:tcW w:w="1799" w:type="dxa"/>
            <w:shd w:val="clear" w:color="auto" w:fill="auto"/>
          </w:tcPr>
          <w:p w14:paraId="2798343B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518816B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829B25F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2ACD1D0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4</w:t>
            </w:r>
          </w:p>
        </w:tc>
      </w:tr>
      <w:tr w:rsidR="00552F80" w:rsidRPr="008C5D4A" w14:paraId="69BC1DDF" w14:textId="77777777" w:rsidTr="005D3EC3">
        <w:trPr>
          <w:trHeight w:val="287"/>
        </w:trPr>
        <w:tc>
          <w:tcPr>
            <w:tcW w:w="2879" w:type="dxa"/>
          </w:tcPr>
          <w:p w14:paraId="3CB66610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/2pts</w:t>
            </w:r>
          </w:p>
        </w:tc>
        <w:tc>
          <w:tcPr>
            <w:tcW w:w="1799" w:type="dxa"/>
            <w:shd w:val="clear" w:color="auto" w:fill="auto"/>
          </w:tcPr>
          <w:p w14:paraId="3C764C9A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14:paraId="21659327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0CB0586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14:paraId="179FD507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2</w:t>
            </w:r>
          </w:p>
        </w:tc>
      </w:tr>
      <w:tr w:rsidR="00552F80" w:rsidRPr="008C5D4A" w14:paraId="4F841B73" w14:textId="77777777" w:rsidTr="005D3EC3">
        <w:trPr>
          <w:trHeight w:val="287"/>
        </w:trPr>
        <w:tc>
          <w:tcPr>
            <w:tcW w:w="2879" w:type="dxa"/>
          </w:tcPr>
          <w:p w14:paraId="70D2D3EB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/6pts</w:t>
            </w:r>
          </w:p>
        </w:tc>
        <w:tc>
          <w:tcPr>
            <w:tcW w:w="1799" w:type="dxa"/>
            <w:shd w:val="clear" w:color="auto" w:fill="auto"/>
          </w:tcPr>
          <w:p w14:paraId="6318CB64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493FA042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14:paraId="28F3D128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1559" w:type="dxa"/>
            <w:shd w:val="clear" w:color="auto" w:fill="auto"/>
          </w:tcPr>
          <w:p w14:paraId="2CABA275" w14:textId="77777777" w:rsidR="00552F80" w:rsidRPr="008C5D4A" w:rsidRDefault="00552F80" w:rsidP="005D3EC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C5D4A">
              <w:rPr>
                <w:rFonts w:ascii="Arial" w:hAnsi="Arial" w:cs="Arial"/>
                <w:sz w:val="20"/>
              </w:rPr>
              <w:t>6</w:t>
            </w:r>
          </w:p>
        </w:tc>
      </w:tr>
    </w:tbl>
    <w:p w14:paraId="12549DD5" w14:textId="77777777" w:rsidR="00552F80" w:rsidRPr="00552F80" w:rsidRDefault="00552F80" w:rsidP="006A149A"/>
    <w:sectPr w:rsidR="00552F80" w:rsidRPr="00552F80" w:rsidSect="00573F67">
      <w:headerReference w:type="default" r:id="rId8"/>
      <w:footerReference w:type="default" r:id="rId9"/>
      <w:pgSz w:w="16817" w:h="11901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D1D55" w14:textId="77777777" w:rsidR="00427E74" w:rsidRDefault="00427E74" w:rsidP="00CC093A">
      <w:r>
        <w:separator/>
      </w:r>
    </w:p>
  </w:endnote>
  <w:endnote w:type="continuationSeparator" w:id="0">
    <w:p w14:paraId="0F6BEF14" w14:textId="77777777" w:rsidR="00427E74" w:rsidRDefault="00427E74" w:rsidP="00C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19D1" w14:textId="37B759B7" w:rsidR="00ED632D" w:rsidRPr="00CC093A" w:rsidRDefault="00CC093A">
    <w:pPr>
      <w:pStyle w:val="Pieddepage"/>
      <w:rPr>
        <w:sz w:val="20"/>
        <w:szCs w:val="20"/>
      </w:rPr>
    </w:pPr>
    <w:r>
      <w:rPr>
        <w:sz w:val="20"/>
        <w:szCs w:val="20"/>
      </w:rPr>
      <w:t>Banque académique de référentiels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65E4BBBE" w14:textId="77777777" w:rsidR="00ED632D" w:rsidRDefault="00ED6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4A61" w14:textId="77777777" w:rsidR="00427E74" w:rsidRDefault="00427E74" w:rsidP="00CC093A">
      <w:r>
        <w:separator/>
      </w:r>
    </w:p>
  </w:footnote>
  <w:footnote w:type="continuationSeparator" w:id="0">
    <w:p w14:paraId="2A703A2F" w14:textId="77777777" w:rsidR="00427E74" w:rsidRDefault="00427E74" w:rsidP="00C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C263" w14:textId="08D8C079" w:rsidR="00CC093A" w:rsidRPr="00CC093A" w:rsidRDefault="00CC093A" w:rsidP="00CC093A">
    <w:pPr>
      <w:pStyle w:val="En-tte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Commission Académique d’Harmonisation des Notes en EPS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614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A"/>
    <w:rsid w:val="00226A89"/>
    <w:rsid w:val="002A49A0"/>
    <w:rsid w:val="00337640"/>
    <w:rsid w:val="00427E74"/>
    <w:rsid w:val="00450CC3"/>
    <w:rsid w:val="00552F80"/>
    <w:rsid w:val="00573F67"/>
    <w:rsid w:val="00593631"/>
    <w:rsid w:val="00675D76"/>
    <w:rsid w:val="006A149A"/>
    <w:rsid w:val="00700A5A"/>
    <w:rsid w:val="007159B2"/>
    <w:rsid w:val="00AF1C15"/>
    <w:rsid w:val="00C640AE"/>
    <w:rsid w:val="00CC093A"/>
    <w:rsid w:val="00E90F7A"/>
    <w:rsid w:val="00ED632D"/>
    <w:rsid w:val="00F24207"/>
    <w:rsid w:val="00F30522"/>
    <w:rsid w:val="00F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E75E"/>
  <w15:chartTrackingRefBased/>
  <w15:docId w15:val="{9C14EBB9-0B68-B04B-8D1F-9ED6C7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552F80"/>
    <w:pPr>
      <w:keepNext/>
      <w:outlineLvl w:val="1"/>
    </w:pPr>
    <w:rPr>
      <w:rFonts w:ascii="Times New Roman" w:eastAsia="Times New Roman" w:hAnsi="Times New Roman" w:cs="Times New Roman"/>
      <w:b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93A"/>
  </w:style>
  <w:style w:type="paragraph" w:styleId="Pieddepage">
    <w:name w:val="footer"/>
    <w:basedOn w:val="Normal"/>
    <w:link w:val="Pieddepag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93A"/>
  </w:style>
  <w:style w:type="character" w:customStyle="1" w:styleId="Titre2Car">
    <w:name w:val="Titre 2 Car"/>
    <w:basedOn w:val="Policepardfaut"/>
    <w:link w:val="Titre2"/>
    <w:rsid w:val="00552F80"/>
    <w:rPr>
      <w:rFonts w:ascii="Times New Roman" w:eastAsia="Times New Roman" w:hAnsi="Times New Roman" w:cs="Times New Roman"/>
      <w:b/>
      <w:sz w:val="22"/>
      <w:szCs w:val="20"/>
      <w:lang w:eastAsia="fr-FR"/>
    </w:rPr>
  </w:style>
  <w:style w:type="paragraph" w:customStyle="1" w:styleId="Default">
    <w:name w:val="Default"/>
    <w:rsid w:val="00552F8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rpsdetexte">
    <w:name w:val="Body Text"/>
    <w:basedOn w:val="Normal"/>
    <w:link w:val="CorpsdetexteCar"/>
    <w:rsid w:val="00552F80"/>
    <w:pPr>
      <w:spacing w:after="240"/>
    </w:pPr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52F80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52F80"/>
    <w:pPr>
      <w:ind w:left="720"/>
      <w:contextualSpacing/>
    </w:pPr>
    <w:rPr>
      <w:rFonts w:ascii="Times" w:eastAsia="Times" w:hAnsi="Times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ED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Meyer</dc:creator>
  <cp:keywords/>
  <dc:description/>
  <cp:lastModifiedBy>COMTE ANTHONY</cp:lastModifiedBy>
  <cp:revision>4</cp:revision>
  <dcterms:created xsi:type="dcterms:W3CDTF">2023-05-30T07:26:00Z</dcterms:created>
  <dcterms:modified xsi:type="dcterms:W3CDTF">2024-06-10T12:27:00Z</dcterms:modified>
</cp:coreProperties>
</file>