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u w:val="single"/>
        </w:rPr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2" wp14:anchorId="56CB4520">
                <wp:simplePos x="0" y="0"/>
                <wp:positionH relativeFrom="margin">
                  <wp:align>right</wp:align>
                </wp:positionH>
                <wp:positionV relativeFrom="paragraph">
                  <wp:posOffset>508000</wp:posOffset>
                </wp:positionV>
                <wp:extent cx="1145540" cy="393065"/>
                <wp:effectExtent l="0" t="0" r="19050" b="28575"/>
                <wp:wrapSquare wrapText="bothSides"/>
                <wp:docPr id="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0" cy="3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A"/>
                                <w:sz w:val="36"/>
                                <w:szCs w:val="36"/>
                              </w:rPr>
                              <w:t xml:space="preserve">N°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422.6pt;margin-top:40pt;width:90.1pt;height:30.85pt;mso-position-horizontal:right;mso-position-horizontal-relative:margin" wp14:anchorId="56CB4520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00000A"/>
                          <w:sz w:val="36"/>
                          <w:szCs w:val="36"/>
                        </w:rPr>
                        <w:t xml:space="preserve">N° 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drawing>
          <wp:inline distT="0" distB="0" distL="0" distR="0">
            <wp:extent cx="609600" cy="803275"/>
            <wp:effectExtent l="0" t="0" r="0" b="0"/>
            <wp:docPr id="3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</w:rPr>
        <w:tab/>
        <w:tab/>
        <w:tab/>
      </w:r>
      <w:r>
        <w:rPr>
          <w:rFonts w:cs="Arial" w:ascii="Arial" w:hAnsi="Arial"/>
          <w:u w:val="single"/>
        </w:rPr>
        <w:t xml:space="preserve">Fiche action annuelle du projet d’école 2016 / 2020 </w:t>
      </w:r>
    </w:p>
    <w:p>
      <w:pPr>
        <w:pStyle w:val="Titreprincipal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itreprincipal"/>
        <w:tabs>
          <w:tab w:val="left" w:pos="708" w:leader="none"/>
          <w:tab w:val="left" w:pos="1416" w:leader="none"/>
          <w:tab w:val="left" w:pos="9052" w:leader="none"/>
        </w:tabs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École :</w:t>
        <w:tab/>
      </w:r>
      <w:r>
        <w:rPr>
          <w:rFonts w:cs="Arial" w:ascii="Arial" w:hAnsi="Arial"/>
          <w:sz w:val="22"/>
          <w:szCs w:val="22"/>
        </w:rPr>
        <w:tab/>
        <w:tab/>
      </w:r>
    </w:p>
    <w:p>
      <w:pPr>
        <w:pStyle w:val="Normal"/>
        <w:tabs>
          <w:tab w:val="left" w:pos="708" w:leader="none"/>
          <w:tab w:val="left" w:pos="6758" w:leader="none"/>
          <w:tab w:val="left" w:pos="9052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Année du projet : 1  2  3  4 </w:t>
      </w:r>
      <w:r>
        <w:rPr>
          <w:rFonts w:cs="Arial" w:ascii="Arial" w:hAnsi="Arial"/>
          <w:i/>
          <w:iCs/>
          <w:sz w:val="22"/>
          <w:szCs w:val="22"/>
        </w:rPr>
        <w:t>(entourez la bonne réponse)</w:t>
      </w:r>
      <w:r>
        <w:rPr>
          <w:rFonts w:cs="Arial" w:ascii="Arial" w:hAnsi="Arial"/>
          <w:b/>
          <w:bCs/>
          <w:sz w:val="22"/>
          <w:szCs w:val="22"/>
        </w:rPr>
        <w:tab/>
        <w:tab/>
        <w:t xml:space="preserve">              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tbl>
      <w:tblPr>
        <w:tblW w:w="5000" w:type="pct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395" w:hRule="atLeast"/>
        </w:trPr>
        <w:tc>
          <w:tcPr>
            <w:tcW w:w="10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Intitulé de l’action</w:t>
            </w:r>
          </w:p>
        </w:tc>
      </w:tr>
      <w:tr>
        <w:trPr>
          <w:trHeight w:val="1596" w:hRule="atLeast"/>
        </w:trPr>
        <w:tc>
          <w:tcPr>
            <w:tcW w:w="10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Enseigner les mathématiques sans fichier au cycle 2.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Il s’agira plus précisément de prendre du recul par rapport à l’utilisation des fichiers élèves tout en s’appuyant sur des outils adaptés communs aux différentes classes.</w:t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Action nouvelle :</w:t>
      </w:r>
      <w:r>
        <w:rPr>
          <w:rFonts w:cs="Arial" w:ascii="Arial" w:hAnsi="Arial"/>
          <w:i/>
          <w:iCs/>
          <w:sz w:val="22"/>
          <w:szCs w:val="22"/>
        </w:rPr>
        <w:t xml:space="preserve"> oui  non           </w:t>
      </w:r>
      <w:r>
        <w:rPr>
          <w:rFonts w:cs="Arial" w:ascii="Arial" w:hAnsi="Arial"/>
          <w:sz w:val="22"/>
          <w:szCs w:val="22"/>
        </w:rPr>
        <w:t>Action reconduite :</w:t>
      </w:r>
      <w:r>
        <w:rPr>
          <w:rFonts w:cs="Arial" w:ascii="Arial" w:hAnsi="Arial"/>
          <w:i/>
          <w:iCs/>
          <w:sz w:val="22"/>
          <w:szCs w:val="22"/>
        </w:rPr>
        <w:t xml:space="preserve"> oui  non                  </w:t>
      </w:r>
      <w:r>
        <w:rPr>
          <w:rFonts w:cs="Arial" w:ascii="Arial" w:hAnsi="Arial"/>
          <w:sz w:val="22"/>
          <w:szCs w:val="22"/>
        </w:rPr>
        <w:t>Action modifiée :</w:t>
      </w:r>
      <w:r>
        <w:rPr>
          <w:rFonts w:cs="Arial" w:ascii="Arial" w:hAnsi="Arial"/>
          <w:i/>
          <w:iCs/>
          <w:sz w:val="22"/>
          <w:szCs w:val="22"/>
        </w:rPr>
        <w:t xml:space="preserve"> oui  non                 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tbl>
      <w:tblPr>
        <w:tblW w:w="5000" w:type="pct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32"/>
        <w:gridCol w:w="5233"/>
      </w:tblGrid>
      <w:tr>
        <w:trPr>
          <w:trHeight w:val="341" w:hRule="atLeast"/>
        </w:trPr>
        <w:tc>
          <w:tcPr>
            <w:tcW w:w="5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bidi w:val="0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Axe du projet</w:t>
            </w:r>
          </w:p>
        </w:tc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1"/>
              </w:numPr>
              <w:bidi w:val="0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Objectif opérationnel visé</w:t>
            </w:r>
          </w:p>
        </w:tc>
      </w:tr>
      <w:tr>
        <w:trPr>
          <w:trHeight w:val="2154" w:hRule="atLeast"/>
        </w:trPr>
        <w:tc>
          <w:tcPr>
            <w:tcW w:w="5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240" w:after="0"/>
              <w:ind w:left="-57" w:hanging="0"/>
              <w:contextualSpacing/>
              <w:rPr>
                <w:rFonts w:ascii="Arial" w:hAnsi="Arial" w:cs="Arial"/>
                <w:b w:val="false"/>
                <w:b w:val="false"/>
                <w:bCs w:val="false"/>
                <w:i/>
                <w:i/>
                <w:color w:val="4A442A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4A442A"/>
                <w:sz w:val="22"/>
                <w:szCs w:val="22"/>
                <w:u w:val="none"/>
                <w:em w:val="none"/>
              </w:rPr>
              <w:t>Axe 1 du Projet Académique: Assurer à Tous et à Chacun la maîtrise du socle commun de connaissances, de compétences et de culture.</w:t>
            </w:r>
          </w:p>
          <w:p>
            <w:pPr>
              <w:pStyle w:val="Normal"/>
              <w:spacing w:lineRule="auto" w:line="276" w:before="240" w:after="0"/>
              <w:ind w:left="-57" w:hanging="0"/>
              <w:contextualSpacing/>
              <w:rPr>
                <w:rFonts w:ascii="Arial" w:hAnsi="Arial" w:cs="Arial"/>
                <w:b w:val="false"/>
                <w:b w:val="false"/>
                <w:bCs w:val="false"/>
                <w:i/>
                <w:i/>
                <w:color w:val="4A442A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i/>
                <w:color w:val="4A442A"/>
                <w:sz w:val="22"/>
                <w:szCs w:val="22"/>
              </w:rPr>
            </w:r>
          </w:p>
          <w:p>
            <w:pPr>
              <w:pStyle w:val="Normal"/>
              <w:spacing w:lineRule="auto" w:line="276" w:before="240" w:after="0"/>
              <w:ind w:left="-57" w:hanging="0"/>
              <w:contextualSpacing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4A442A"/>
                <w:sz w:val="22"/>
                <w:szCs w:val="22"/>
                <w:u w:val="none"/>
                <w:em w:val="none"/>
              </w:rPr>
              <w:t>Axe 2 du Projet Académique: Coopérer et s'organiser dans l'intérêt des élèves.</w:t>
            </w:r>
          </w:p>
        </w:tc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76"/>
              <w:ind w:left="-57" w:hanging="0"/>
              <w:jc w:val="both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</w:r>
          </w:p>
          <w:p>
            <w:pPr>
              <w:pStyle w:val="ListParagraph"/>
              <w:spacing w:lineRule="auto" w:line="276"/>
              <w:ind w:left="-57" w:hanging="0"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Mettre en œuvre un enseignement des mathématiques cohérent et progressif fondé sur le triptyque :</w:t>
            </w:r>
          </w:p>
          <w:p>
            <w:pPr>
              <w:pStyle w:val="ListParagraph"/>
              <w:spacing w:lineRule="auto" w:line="276"/>
              <w:ind w:left="-57" w:hanging="0"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 xml:space="preserve">→ 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manipuler, verbaliser, abstraire.</w:t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tbl>
      <w:tblPr>
        <w:tblW w:w="5000" w:type="pct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395" w:hRule="atLeast"/>
        </w:trPr>
        <w:tc>
          <w:tcPr>
            <w:tcW w:w="10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val="clear"/>
            <w:tcMar>
              <w:left w:w="93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Elèves concernés</w:t>
            </w:r>
          </w:p>
        </w:tc>
      </w:tr>
      <w:tr>
        <w:trPr>
          <w:trHeight w:val="508" w:hRule="atLeast"/>
        </w:trPr>
        <w:tc>
          <w:tcPr>
            <w:tcW w:w="10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336" w:hRule="atLeast"/>
        </w:trPr>
        <w:tc>
          <w:tcPr>
            <w:tcW w:w="10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val="clear"/>
            <w:tcMar>
              <w:left w:w="93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Enseignants concernés</w:t>
            </w:r>
          </w:p>
        </w:tc>
      </w:tr>
      <w:tr>
        <w:trPr>
          <w:trHeight w:val="741" w:hRule="atLeast"/>
        </w:trPr>
        <w:tc>
          <w:tcPr>
            <w:tcW w:w="10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Au minimum, l’ensemble des enseignants du cycle 2 devrait être concernés par cet axe de travail.</w:t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tbl>
      <w:tblPr>
        <w:tblW w:w="5000" w:type="pct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466"/>
      </w:tblGrid>
      <w:tr>
        <w:trPr>
          <w:trHeight w:val="395" w:hRule="atLeast"/>
        </w:trPr>
        <w:tc>
          <w:tcPr>
            <w:tcW w:w="10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val="clear"/>
            <w:tcMar>
              <w:left w:w="5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Description de l’action, de l’organisation </w:t>
            </w:r>
          </w:p>
        </w:tc>
      </w:tr>
      <w:tr>
        <w:trPr>
          <w:trHeight w:val="5278" w:hRule="atLeast"/>
        </w:trPr>
        <w:tc>
          <w:tcPr>
            <w:tcW w:w="10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bidi w:val="0"/>
              <w:spacing w:before="227" w:after="0"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i/>
                <w:iCs/>
                <w:color w:val="404040"/>
                <w:sz w:val="22"/>
                <w:szCs w:val="22"/>
              </w:rPr>
              <w:t>L’équipe pédagogique peut se mobiliser sur les points suivants (liste non-exhaustive) :</w:t>
            </w:r>
          </w:p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bCs w:val="false"/>
                <w:color w:val="404040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color w:val="404040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color w:val="404040"/>
                <w:sz w:val="22"/>
                <w:szCs w:val="22"/>
              </w:rPr>
              <w:t xml:space="preserve">Analyser collectivement des méthodes mathématiques, où la place du fichier élève n’est pas centrale, pour choisir celle qui fera consensus. </w:t>
            </w:r>
            <w:r>
              <w:rPr>
                <w:rFonts w:cs="Arial" w:ascii="Arial" w:hAnsi="Arial"/>
                <w:b w:val="false"/>
                <w:bCs w:val="false"/>
                <w:color w:val="404040"/>
                <w:sz w:val="22"/>
                <w:szCs w:val="22"/>
              </w:rPr>
              <w:t>L’analyse pourra se faire par exemple au regard de leur adéquation avec les repères de progressivité.</w:t>
            </w:r>
          </w:p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color w:val="404040"/>
                <w:sz w:val="22"/>
                <w:szCs w:val="22"/>
              </w:rPr>
              <w:t>Décider collégialement, les années suivantes, de la conserver ou d’en changer.</w:t>
            </w:r>
          </w:p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bCs w:val="false"/>
                <w:color w:val="404040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color w:val="404040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color w:val="404040"/>
                <w:sz w:val="22"/>
                <w:szCs w:val="22"/>
              </w:rPr>
              <w:t xml:space="preserve">Prévoir des temps institutionnels </w:t>
            </w:r>
            <w:r>
              <w:rPr>
                <w:rFonts w:cs="Arial" w:ascii="Arial" w:hAnsi="Arial"/>
                <w:b w:val="false"/>
                <w:bCs w:val="false"/>
                <w:color w:val="404040"/>
                <w:sz w:val="22"/>
                <w:szCs w:val="22"/>
              </w:rPr>
              <w:t>(conseil des maitres, conseil de cycle, ...)</w:t>
            </w:r>
            <w:r>
              <w:rPr>
                <w:rFonts w:cs="Arial" w:ascii="Arial" w:hAnsi="Arial"/>
                <w:b w:val="false"/>
                <w:bCs w:val="false"/>
                <w:color w:val="404040"/>
                <w:sz w:val="22"/>
                <w:szCs w:val="22"/>
              </w:rPr>
              <w:t xml:space="preserve">, à différents moments de l’année, pour permettre à l’équipe pédagogique d’avoir des échanges constructifs au sujet de cette méthode </w:t>
            </w:r>
            <w:r>
              <w:rPr>
                <w:rFonts w:cs="Arial" w:ascii="Arial" w:hAnsi="Arial"/>
                <w:b w:val="false"/>
                <w:bCs w:val="false"/>
                <w:color w:val="404040"/>
                <w:sz w:val="22"/>
                <w:szCs w:val="22"/>
              </w:rPr>
              <w:t>et de prendre des décisions de manière collégiale</w:t>
            </w:r>
            <w:r>
              <w:rPr>
                <w:rFonts w:cs="Arial" w:ascii="Arial" w:hAnsi="Arial"/>
                <w:b w:val="false"/>
                <w:bCs w:val="false"/>
                <w:color w:val="404040"/>
                <w:sz w:val="22"/>
                <w:szCs w:val="22"/>
              </w:rPr>
              <w:t> :</w:t>
            </w:r>
          </w:p>
          <w:p>
            <w:pPr>
              <w:pStyle w:val="Normal"/>
              <w:numPr>
                <w:ilvl w:val="3"/>
                <w:numId w:val="2"/>
              </w:numPr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color w:val="404040"/>
                <w:sz w:val="22"/>
                <w:szCs w:val="22"/>
              </w:rPr>
              <w:t>mise en œuvre des séances ;</w:t>
            </w:r>
          </w:p>
          <w:p>
            <w:pPr>
              <w:pStyle w:val="Normal"/>
              <w:numPr>
                <w:ilvl w:val="3"/>
                <w:numId w:val="2"/>
              </w:numPr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color w:val="404040"/>
                <w:sz w:val="22"/>
                <w:szCs w:val="22"/>
              </w:rPr>
              <w:t>outils des élèves ;</w:t>
            </w:r>
          </w:p>
          <w:p>
            <w:pPr>
              <w:pStyle w:val="Normal"/>
              <w:numPr>
                <w:ilvl w:val="3"/>
                <w:numId w:val="2"/>
              </w:numPr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color w:val="404040"/>
                <w:sz w:val="22"/>
                <w:szCs w:val="22"/>
              </w:rPr>
              <w:t>difficultés et réussites des élèves ;</w:t>
            </w:r>
          </w:p>
          <w:p>
            <w:pPr>
              <w:pStyle w:val="Normal"/>
              <w:numPr>
                <w:ilvl w:val="3"/>
                <w:numId w:val="2"/>
              </w:numPr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color w:val="404040"/>
                <w:sz w:val="22"/>
                <w:szCs w:val="22"/>
              </w:rPr>
              <w:t>progressivité des apprentissages.</w:t>
            </w:r>
          </w:p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bCs w:val="false"/>
                <w:color w:val="404040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color w:val="404040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color w:val="404040"/>
                <w:sz w:val="22"/>
                <w:szCs w:val="22"/>
              </w:rPr>
              <w:t xml:space="preserve">Envisager la mise en œuvre d’observations croisées entre enseignants de l’école pour alimenter la réflexion collective </w:t>
            </w:r>
            <w:r>
              <w:rPr>
                <w:rFonts w:cs="Arial" w:ascii="Arial" w:hAnsi="Arial"/>
                <w:b w:val="false"/>
                <w:bCs w:val="false"/>
                <w:color w:val="404040"/>
                <w:sz w:val="22"/>
                <w:szCs w:val="22"/>
              </w:rPr>
              <w:t>(</w:t>
            </w:r>
            <w:r>
              <w:rPr>
                <w:rFonts w:cs="Arial" w:ascii="Arial" w:hAnsi="Arial"/>
                <w:b w:val="false"/>
                <w:bCs w:val="false"/>
                <w:color w:val="404040"/>
                <w:sz w:val="22"/>
                <w:szCs w:val="22"/>
              </w:rPr>
              <w:t xml:space="preserve">le cas échéant, </w:t>
            </w:r>
            <w:r>
              <w:rPr>
                <w:rFonts w:cs="Arial" w:ascii="Arial" w:hAnsi="Arial"/>
                <w:b w:val="false"/>
                <w:bCs w:val="false"/>
                <w:color w:val="404040"/>
                <w:sz w:val="22"/>
                <w:szCs w:val="22"/>
              </w:rPr>
              <w:t xml:space="preserve">contacter éventuellement l’équipe de circonscription pour </w:t>
            </w:r>
            <w:r>
              <w:rPr>
                <w:rFonts w:cs="Arial" w:ascii="Arial" w:hAnsi="Arial"/>
                <w:b w:val="false"/>
                <w:bCs w:val="false"/>
                <w:color w:val="404040"/>
                <w:sz w:val="22"/>
                <w:szCs w:val="22"/>
              </w:rPr>
              <w:t>vous informer d</w:t>
            </w:r>
            <w:r>
              <w:rPr>
                <w:rFonts w:cs="Arial" w:ascii="Arial" w:hAnsi="Arial"/>
                <w:b w:val="false"/>
                <w:bCs w:val="false"/>
                <w:color w:val="404040"/>
                <w:sz w:val="22"/>
                <w:szCs w:val="22"/>
              </w:rPr>
              <w:t xml:space="preserve">es </w:t>
            </w:r>
            <w:r>
              <w:rPr>
                <w:rFonts w:cs="Arial" w:ascii="Arial" w:hAnsi="Arial"/>
                <w:b w:val="false"/>
                <w:bCs w:val="false"/>
                <w:color w:val="404040"/>
                <w:sz w:val="22"/>
                <w:szCs w:val="22"/>
              </w:rPr>
              <w:t xml:space="preserve">modalités </w:t>
            </w:r>
            <w:r>
              <w:rPr>
                <w:rFonts w:cs="Arial" w:ascii="Arial" w:hAnsi="Arial"/>
                <w:b w:val="false"/>
                <w:bCs w:val="false"/>
                <w:color w:val="404040"/>
                <w:sz w:val="22"/>
                <w:szCs w:val="22"/>
              </w:rPr>
              <w:t>possib</w:t>
            </w:r>
            <w:r>
              <w:rPr>
                <w:rFonts w:cs="Arial" w:ascii="Arial" w:hAnsi="Arial"/>
                <w:b w:val="false"/>
                <w:bCs w:val="false"/>
                <w:color w:val="404040"/>
                <w:sz w:val="22"/>
                <w:szCs w:val="22"/>
              </w:rPr>
              <w:t>les</w:t>
            </w:r>
            <w:r>
              <w:rPr>
                <w:rFonts w:cs="Arial" w:ascii="Arial" w:hAnsi="Arial"/>
                <w:b w:val="false"/>
                <w:bCs w:val="false"/>
                <w:color w:val="404040"/>
                <w:sz w:val="22"/>
                <w:szCs w:val="22"/>
              </w:rPr>
              <w:t>)</w:t>
            </w:r>
            <w:r>
              <w:rPr>
                <w:rFonts w:cs="Arial" w:ascii="Arial" w:hAnsi="Arial"/>
                <w:b w:val="false"/>
                <w:bCs w:val="false"/>
                <w:color w:val="404040"/>
                <w:sz w:val="22"/>
                <w:szCs w:val="22"/>
              </w:rPr>
              <w:t>.</w:t>
            </w:r>
          </w:p>
        </w:tc>
      </w:tr>
      <w:tr>
        <w:trPr>
          <w:trHeight w:val="346" w:hRule="atLeast"/>
        </w:trPr>
        <w:tc>
          <w:tcPr>
            <w:tcW w:w="10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val="clear"/>
            <w:tcMar>
              <w:left w:w="55" w:type="dxa"/>
            </w:tcMar>
          </w:tcPr>
          <w:p>
            <w:pPr>
              <w:pStyle w:val="ListParagraph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7. Evaluation de l’efficacité de l’action- Perspectives futures</w:t>
            </w:r>
          </w:p>
        </w:tc>
      </w:tr>
      <w:tr>
        <w:trPr>
          <w:trHeight w:val="1568" w:hRule="atLeast"/>
        </w:trPr>
        <w:tc>
          <w:tcPr>
            <w:tcW w:w="10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bidi w:val="0"/>
              <w:spacing w:before="227" w:after="0"/>
              <w:jc w:val="both"/>
              <w:rPr>
                <w:i/>
                <w:i/>
                <w:iCs/>
                <w:sz w:val="21"/>
                <w:szCs w:val="21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/>
                <w:iCs/>
                <w:sz w:val="21"/>
                <w:szCs w:val="21"/>
                <w:u w:val="none"/>
              </w:rPr>
              <w:t>L’efficacité de cette action peut notamment être évaluée en gardant à l’esprit que le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sz w:val="21"/>
                <w:szCs w:val="21"/>
                <w:u w:val="none"/>
              </w:rPr>
              <w:t>s réponses pr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sz w:val="21"/>
                <w:szCs w:val="21"/>
                <w:u w:val="none"/>
              </w:rPr>
              <w:t xml:space="preserve">ésentes dans les 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sz w:val="21"/>
                <w:szCs w:val="21"/>
                <w:u w:val="none"/>
              </w:rPr>
              <w:t>fichier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sz w:val="21"/>
                <w:szCs w:val="21"/>
                <w:u w:val="none"/>
              </w:rPr>
              <w:t>s élèves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sz w:val="21"/>
                <w:szCs w:val="21"/>
                <w:u w:val="none"/>
              </w:rPr>
              <w:t xml:space="preserve"> ne permett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sz w:val="21"/>
                <w:szCs w:val="21"/>
                <w:u w:val="none"/>
              </w:rPr>
              <w:t>e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sz w:val="21"/>
                <w:szCs w:val="21"/>
                <w:u w:val="none"/>
              </w:rPr>
              <w:t xml:space="preserve">nt 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sz w:val="21"/>
                <w:szCs w:val="21"/>
                <w:u w:val="none"/>
              </w:rPr>
              <w:t xml:space="preserve">que rarement 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sz w:val="21"/>
                <w:szCs w:val="21"/>
                <w:u w:val="none"/>
              </w:rPr>
              <w:t xml:space="preserve">aux enseignants 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sz w:val="21"/>
                <w:szCs w:val="21"/>
                <w:u w:val="none"/>
              </w:rPr>
              <w:t>d’identifier précisément les difficultés de leurs élèves.</w:t>
            </w:r>
          </w:p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u w:val="none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u w:val="single"/>
              </w:rPr>
              <w:t>Les élèves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 :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 xml:space="preserve">Le rapport des élèves aux mathématiques peut éventuellement évoluer : statut de l’erreur, 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 xml:space="preserve">volonté de progresser, confiance retrouvée en ses capacités, 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plaisir de chercher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 xml:space="preserve"> ...</w:t>
            </w:r>
          </w:p>
          <w:p>
            <w:pPr>
              <w:pStyle w:val="Normal"/>
              <w:jc w:val="both"/>
              <w:rPr>
                <w:u w:val="singl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u w:val="single"/>
              </w:rPr>
              <w:t>Les enseignants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 :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Amélioration possible du sentiment d’efficacité professionnelle : meilleure prise en compte des capacités et des besoins de chaque élève.</w:t>
            </w:r>
          </w:p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u w:val="single"/>
              </w:rPr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u w:val="single"/>
              </w:rPr>
              <w:t>L’équipe pédagogique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 :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Cette action pourrait permettre à l’équipe enseignante d’identifier plus précisément ce qu’il est nécessaire d’harmoniser au sein d’une école pour améliorer la fluidité du parcours des élèves.</w:t>
            </w:r>
          </w:p>
        </w:tc>
      </w:tr>
    </w:tbl>
    <w:p>
      <w:pPr>
        <w:pStyle w:val="BodyText2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720" w:right="720" w:header="0" w:top="340" w:footer="0" w:bottom="39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roman"/>
    <w:pitch w:val="variable"/>
  </w:font>
  <w:font w:name="Garamond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56244413"/>
    </w:sdtPr>
    <w:sdtContent>
      <w:p>
        <w:pPr>
          <w:pStyle w:val="Pieddepage"/>
          <w:jc w:val="center"/>
          <w:rPr/>
        </w:pPr>
        <w:r>
          <w:rPr/>
        </w:r>
      </w:p>
    </w:sdtContent>
  </w:sdt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szCs w:val="22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57b4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qFormat/>
    <w:rsid w:val="00857b4e"/>
    <w:pPr>
      <w:keepNext w:val="true"/>
      <w:jc w:val="center"/>
      <w:outlineLvl w:val="0"/>
    </w:pPr>
    <w:rPr>
      <w:rFonts w:ascii="Comic Sans MS" w:hAnsi="Comic Sans MS"/>
      <w:b/>
      <w:bCs/>
      <w:sz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7771"/>
    <w:pPr>
      <w:keepNext w:val="true"/>
      <w:jc w:val="center"/>
      <w:outlineLvl w:val="1"/>
    </w:pPr>
    <w:rPr>
      <w:rFonts w:ascii="Garamond" w:hAnsi="Garamond" w:cs="Calibri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54e91"/>
    <w:pPr>
      <w:keepNext w:val="true"/>
      <w:outlineLvl w:val="2"/>
    </w:pPr>
    <w:rPr>
      <w:rFonts w:ascii="Garamond" w:hAnsi="Garamond" w:cs="Calibri"/>
      <w:b/>
      <w:bCs/>
      <w:sz w:val="16"/>
      <w:szCs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semiHidden/>
    <w:rsid w:val="00857b4e"/>
    <w:rPr>
      <w:color w:val="0000FF"/>
      <w:u w:val="single"/>
    </w:rPr>
  </w:style>
  <w:style w:type="character" w:styleId="TextedebullesCar" w:customStyle="1">
    <w:name w:val="Texte de bulles Car"/>
    <w:link w:val="Textedebulles"/>
    <w:uiPriority w:val="99"/>
    <w:qFormat/>
    <w:rsid w:val="00236573"/>
    <w:rPr>
      <w:rFonts w:ascii="Tahoma" w:hAnsi="Tahoma" w:cs="Tahoma"/>
      <w:sz w:val="16"/>
      <w:szCs w:val="16"/>
    </w:rPr>
  </w:style>
  <w:style w:type="character" w:styleId="Titre1Car" w:customStyle="1">
    <w:name w:val="Titre 1 Car"/>
    <w:link w:val="Titre1"/>
    <w:qFormat/>
    <w:rsid w:val="009436e8"/>
    <w:rPr>
      <w:rFonts w:ascii="Comic Sans MS" w:hAnsi="Comic Sans MS"/>
      <w:b/>
      <w:bCs/>
      <w:szCs w:val="24"/>
    </w:rPr>
  </w:style>
  <w:style w:type="character" w:styleId="PieddepageCar" w:customStyle="1">
    <w:name w:val="Pied de page Car"/>
    <w:link w:val="Pieddepage"/>
    <w:uiPriority w:val="99"/>
    <w:qFormat/>
    <w:rsid w:val="00c3069d"/>
    <w:rPr>
      <w:sz w:val="24"/>
      <w:szCs w:val="24"/>
    </w:rPr>
  </w:style>
  <w:style w:type="character" w:styleId="Titre2Car" w:customStyle="1">
    <w:name w:val="Titre 2 Car"/>
    <w:link w:val="Titre2"/>
    <w:uiPriority w:val="9"/>
    <w:qFormat/>
    <w:rsid w:val="00b97771"/>
    <w:rPr>
      <w:rFonts w:ascii="Garamond" w:hAnsi="Garamond" w:cs="Calibri"/>
      <w:b/>
      <w:sz w:val="22"/>
      <w:szCs w:val="22"/>
    </w:rPr>
  </w:style>
  <w:style w:type="character" w:styleId="Titre3Car" w:customStyle="1">
    <w:name w:val="Titre 3 Car"/>
    <w:link w:val="Titre3"/>
    <w:uiPriority w:val="9"/>
    <w:qFormat/>
    <w:rsid w:val="00c54e91"/>
    <w:rPr>
      <w:rFonts w:ascii="Garamond" w:hAnsi="Garamond" w:cs="Calibri"/>
      <w:b/>
      <w:bCs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2"/>
      <w:szCs w:val="22"/>
    </w:rPr>
  </w:style>
  <w:style w:type="character" w:styleId="ListLabel2">
    <w:name w:val="ListLabel 2"/>
    <w:qFormat/>
    <w:rPr>
      <w:b/>
      <w:sz w:val="22"/>
      <w:szCs w:val="22"/>
    </w:rPr>
  </w:style>
  <w:style w:type="character" w:styleId="ListLabel3">
    <w:name w:val="ListLabel 3"/>
    <w:qFormat/>
    <w:rPr>
      <w:b/>
      <w:sz w:val="22"/>
      <w:szCs w:val="22"/>
    </w:rPr>
  </w:style>
  <w:style w:type="character" w:styleId="ListLabel4">
    <w:name w:val="ListLabel 4"/>
    <w:qFormat/>
    <w:rPr>
      <w:b/>
      <w:sz w:val="22"/>
      <w:szCs w:val="22"/>
    </w:rPr>
  </w:style>
  <w:style w:type="character" w:styleId="ListLabel5">
    <w:name w:val="ListLabel 5"/>
    <w:qFormat/>
    <w:rPr>
      <w:b/>
      <w:sz w:val="22"/>
      <w:szCs w:val="22"/>
    </w:rPr>
  </w:style>
  <w:style w:type="character" w:styleId="ListLabel6">
    <w:name w:val="ListLabel 6"/>
    <w:qFormat/>
    <w:rPr>
      <w:b/>
      <w:sz w:val="22"/>
      <w:szCs w:val="22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ascii="Arial" w:hAnsi="Arial"/>
      <w:b/>
      <w:sz w:val="22"/>
      <w:szCs w:val="22"/>
    </w:rPr>
  </w:style>
  <w:style w:type="character" w:styleId="ListLabel8">
    <w:name w:val="ListLabel 8"/>
    <w:qFormat/>
    <w:rPr>
      <w:rFonts w:ascii="Arial" w:hAnsi="Arial" w:cs="OpenSymbol"/>
      <w:b w:val="false"/>
      <w:sz w:val="22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ascii="Arial" w:hAnsi="Arial"/>
      <w:b/>
      <w:sz w:val="22"/>
      <w:szCs w:val="22"/>
    </w:rPr>
  </w:style>
  <w:style w:type="character" w:styleId="ListLabel18">
    <w:name w:val="ListLabel 18"/>
    <w:qFormat/>
    <w:rPr>
      <w:rFonts w:ascii="Arial" w:hAnsi="Arial" w:cs="OpenSymbol"/>
      <w:b w:val="false"/>
      <w:sz w:val="22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ascii="Arial" w:hAnsi="Arial"/>
      <w:b/>
      <w:sz w:val="22"/>
      <w:szCs w:val="22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semiHidden/>
    <w:rsid w:val="00857b4e"/>
    <w:pPr/>
    <w:rPr>
      <w:rFonts w:ascii="Comic Sans MS" w:hAnsi="Comic Sans MS"/>
      <w:b/>
      <w:bCs/>
      <w:i/>
      <w:iCs/>
      <w:sz w:val="20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le"/>
    <w:basedOn w:val="Normal"/>
    <w:qFormat/>
    <w:rsid w:val="00857b4e"/>
    <w:pPr>
      <w:jc w:val="center"/>
    </w:pPr>
    <w:rPr>
      <w:b/>
      <w:bCs/>
    </w:rPr>
  </w:style>
  <w:style w:type="paragraph" w:styleId="Entte">
    <w:name w:val="Header"/>
    <w:basedOn w:val="Normal"/>
    <w:semiHidden/>
    <w:rsid w:val="00857b4e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rsid w:val="00857b4e"/>
    <w:pPr>
      <w:tabs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semiHidden/>
    <w:qFormat/>
    <w:rsid w:val="00857b4e"/>
    <w:pPr/>
    <w:rPr>
      <w:rFonts w:ascii="Comic Sans MS" w:hAnsi="Comic Sans MS"/>
      <w:b/>
      <w:bCs/>
      <w:u w:val="single"/>
    </w:rPr>
  </w:style>
  <w:style w:type="paragraph" w:styleId="BalloonText">
    <w:name w:val="Balloon Text"/>
    <w:basedOn w:val="Normal"/>
    <w:link w:val="TextedebullesCar"/>
    <w:uiPriority w:val="99"/>
    <w:unhideWhenUsed/>
    <w:qFormat/>
    <w:rsid w:val="0023657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239"/>
    <w:pPr>
      <w:spacing w:before="0" w:after="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D26FC-0356-48C0-A6CE-84734F76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LibreOffice/5.4.6.2$Windows_X86_64 LibreOffice_project/4014ce260a04f1026ba855d3b8d91541c224eab8</Application>
  <Pages>2</Pages>
  <Words>442</Words>
  <Characters>2478</Characters>
  <CharactersWithSpaces>2947</CharactersWithSpaces>
  <Paragraphs>35</Paragraphs>
  <Company>CG84 COLLEGES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2016-03-14T08:31:00Z</dcterms:created>
  <dc:creator>Raspail</dc:creator>
  <dc:description/>
  <dc:language>fr-FR</dc:language>
  <cp:lastModifiedBy/>
  <cp:lastPrinted>2019-04-30T13:42:35Z</cp:lastPrinted>
  <dcterms:modified xsi:type="dcterms:W3CDTF">2019-05-01T10:13:38Z</dcterms:modified>
  <cp:revision>11</cp:revision>
  <dc:subject/>
  <dc:title>FICHE ACTION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CG84 COLLEGES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