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A2" w:rsidRDefault="00A32148" w:rsidP="00A32148">
      <w:pPr>
        <w:jc w:val="both"/>
        <w:rPr>
          <w:rFonts w:ascii="Arial" w:hAnsi="Arial" w:cs="Arial"/>
        </w:rPr>
      </w:pPr>
      <w:r w:rsidRPr="00FB07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074AD" wp14:editId="59D90C41">
                <wp:simplePos x="0" y="0"/>
                <wp:positionH relativeFrom="margin">
                  <wp:posOffset>-99695</wp:posOffset>
                </wp:positionH>
                <wp:positionV relativeFrom="margin">
                  <wp:posOffset>220345</wp:posOffset>
                </wp:positionV>
                <wp:extent cx="9942830" cy="309245"/>
                <wp:effectExtent l="12700" t="12700" r="1397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28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48" w:rsidRPr="00923601" w:rsidRDefault="00A32148" w:rsidP="00A3214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PRÉPARATION DE L’ACTION PÉDAGOGIQUE À MENER</w:t>
                            </w:r>
                            <w:r w:rsidR="00E544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– FRANÇAIS ET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74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85pt;margin-top:17.35pt;width:782.9pt;height: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" strokeweight="2.25pt">
                <v:textbox>
                  <w:txbxContent>
                    <w:p w:rsidR="00A32148" w:rsidRPr="00923601" w:rsidRDefault="00A32148" w:rsidP="00A3214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PRÉPARATION DE L’ACTION PÉDAGOGIQUE À MENER</w:t>
                      </w:r>
                      <w:r w:rsidR="00E544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– FRANÇAIS ET MATHÉMATIQUES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544B0" w:rsidRPr="00A32148" w:rsidRDefault="00E544B0" w:rsidP="00A32148">
      <w:pPr>
        <w:jc w:val="both"/>
        <w:rPr>
          <w:rFonts w:ascii="Arial" w:hAnsi="Arial" w:cs="Arial"/>
          <w:sz w:val="20"/>
          <w:szCs w:val="20"/>
        </w:rPr>
      </w:pPr>
    </w:p>
    <w:p w:rsidR="00A32148" w:rsidRPr="00EA5DF5" w:rsidRDefault="00A32148" w:rsidP="00A3214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</w:pP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En appui sur</w:t>
      </w:r>
      <w:r w:rsidRPr="00A32148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 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un</w:t>
      </w:r>
      <w:r w:rsidRPr="00A32148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 bilan de la continuité pédagogique de la période de confinement réalisé 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par chaque enseignant, cet outil pourra être utilisé de plusieurs manières</w:t>
      </w:r>
      <w:r w:rsidR="00EA5DF5"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, par exemple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 :</w:t>
      </w:r>
    </w:p>
    <w:p w:rsidR="00EA5DF5" w:rsidRPr="00EA5DF5" w:rsidRDefault="00A32148" w:rsidP="00A3214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</w:pP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Si l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es 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classe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s restent les mêmes qu’avant au sein de 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la nouvelle organisation pédagogique de l’école : 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chaque enseignant complétera le tableau pour sa classe et 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les priorités de travail mises en exergue </w:t>
      </w:r>
      <w:r w:rsidR="00EA5DF5"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pourront 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constituer </w:t>
      </w:r>
      <w:r w:rsidR="00EA5DF5"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un fil conducteur pour la reprise des cours, </w:t>
      </w:r>
    </w:p>
    <w:p w:rsidR="00A32148" w:rsidRPr="00EA5DF5" w:rsidRDefault="00EA5DF5" w:rsidP="00A3214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</w:pP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Si les classes sont </w:t>
      </w:r>
      <w:proofErr w:type="spellStart"/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rebrassées</w:t>
      </w:r>
      <w:proofErr w:type="spellEnd"/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 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au sein de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 la nouvelle organisation pédagogique de l’école : 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chaque enseignant complétera 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le tableau pour 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sa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 classe 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et le transmettra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 aux collègues </w:t>
      </w:r>
      <w:r w:rsidR="00E544B0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qui auront certains de ses élèves dans leur groupe. L</w:t>
      </w:r>
      <w:r w:rsidRPr="00EA5DF5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es priorités mises en exergue dans les tableaux complétés pour un même groupe pourront constituer un fil conducteur pour la reprise des cours.  </w:t>
      </w:r>
    </w:p>
    <w:p w:rsidR="00A32148" w:rsidRPr="00A32148" w:rsidRDefault="00A32148" w:rsidP="00A321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612"/>
        <w:gridCol w:w="4278"/>
        <w:gridCol w:w="4278"/>
        <w:gridCol w:w="4278"/>
      </w:tblGrid>
      <w:tr w:rsidR="00EA5DF5" w:rsidTr="00E544B0">
        <w:tc>
          <w:tcPr>
            <w:tcW w:w="2612" w:type="dxa"/>
            <w:vAlign w:val="center"/>
          </w:tcPr>
          <w:p w:rsidR="00E544B0" w:rsidRDefault="00E544B0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Reprise des cours</w:t>
            </w:r>
          </w:p>
          <w:p w:rsidR="00E544B0" w:rsidRDefault="00E544B0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Contenus prioritaires pour tous les élèves</w:t>
            </w: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Contenus spécifiques différenciés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 élèves fragiles suivants</w:t>
            </w:r>
          </w:p>
        </w:tc>
      </w:tr>
      <w:tr w:rsidR="00EA5DF5" w:rsidTr="00E544B0">
        <w:tc>
          <w:tcPr>
            <w:tcW w:w="2612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54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544B0">
        <w:tc>
          <w:tcPr>
            <w:tcW w:w="2612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Mathématiques</w:t>
            </w: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54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vAlign w:val="center"/>
          </w:tcPr>
          <w:p w:rsidR="00EA5DF5" w:rsidRDefault="00EA5DF5" w:rsidP="00EA5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148" w:rsidRPr="00E544B0" w:rsidRDefault="00A32148" w:rsidP="00A32148">
      <w:pPr>
        <w:jc w:val="both"/>
        <w:rPr>
          <w:rFonts w:ascii="Arial" w:hAnsi="Arial" w:cs="Arial"/>
        </w:rPr>
      </w:pPr>
    </w:p>
    <w:sectPr w:rsidR="00A32148" w:rsidRPr="00E544B0" w:rsidSect="00E544B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3CDB"/>
    <w:multiLevelType w:val="hybridMultilevel"/>
    <w:tmpl w:val="AA5E7FF0"/>
    <w:lvl w:ilvl="0" w:tplc="F8103B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48"/>
    <w:rsid w:val="00044A87"/>
    <w:rsid w:val="000537A2"/>
    <w:rsid w:val="00A32148"/>
    <w:rsid w:val="00E544B0"/>
    <w:rsid w:val="00E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DCE8D"/>
  <w15:chartTrackingRefBased/>
  <w15:docId w15:val="{5EE2955D-B4BA-E048-AE77-8811235A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4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044A87"/>
    <w:pPr>
      <w:spacing w:after="0" w:line="240" w:lineRule="auto"/>
      <w:jc w:val="both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4A87"/>
  </w:style>
  <w:style w:type="paragraph" w:styleId="Paragraphedeliste">
    <w:name w:val="List Paragraph"/>
    <w:basedOn w:val="Normal"/>
    <w:uiPriority w:val="34"/>
    <w:qFormat/>
    <w:rsid w:val="00A321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Leininger</dc:creator>
  <cp:keywords/>
  <dc:description/>
  <cp:lastModifiedBy>Audrey Leininger</cp:lastModifiedBy>
  <cp:revision>2</cp:revision>
  <dcterms:created xsi:type="dcterms:W3CDTF">2020-05-03T13:19:00Z</dcterms:created>
  <dcterms:modified xsi:type="dcterms:W3CDTF">2020-05-03T18:17:00Z</dcterms:modified>
</cp:coreProperties>
</file>