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4110"/>
        <w:gridCol w:w="426"/>
        <w:gridCol w:w="8789"/>
      </w:tblGrid>
      <w:tr w:rsidR="002707AE" w:rsidRPr="002707AE" w:rsidTr="008369E4">
        <w:trPr>
          <w:trHeight w:val="498"/>
        </w:trPr>
        <w:tc>
          <w:tcPr>
            <w:tcW w:w="15730" w:type="dxa"/>
            <w:gridSpan w:val="4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DIFFICULTES PEDAGOGIQUES</w:t>
            </w:r>
          </w:p>
        </w:tc>
      </w:tr>
      <w:tr w:rsidR="002707AE" w:rsidRPr="002707AE" w:rsidTr="008369E4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Constat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Au-delà du constat…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Besoins éventuels</w:t>
            </w:r>
            <w:r w:rsidR="00E01326" w:rsidRPr="002707AE">
              <w:rPr>
                <w:rFonts w:eastAsia="Calibri" w:cstheme="minorHAnsi"/>
                <w:b/>
                <w:i/>
                <w:color w:val="000000" w:themeColor="text1"/>
                <w:sz w:val="20"/>
              </w:rPr>
              <w:t xml:space="preserve"> (et exemples d’actions possibles)</w:t>
            </w:r>
          </w:p>
        </w:tc>
      </w:tr>
      <w:tr w:rsidR="002707AE" w:rsidRPr="002707AE" w:rsidTr="008369E4">
        <w:tc>
          <w:tcPr>
            <w:tcW w:w="2405" w:type="dxa"/>
            <w:vMerge w:val="restart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 xml:space="preserve">Ne s’engage pas dans la tâche ou s’y précipite mais avec des réponses erronées </w:t>
            </w: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Refuse de se lancer dans les apprentissages par peur de l’échec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D’étayage fort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(outils à disposition, coups de pouce, …)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sécurité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(connaitre les outils à disposition en cas de difficultés,</w:t>
            </w:r>
            <w:r w:rsidR="00615F5C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connaitre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les critères de réussites</w:t>
            </w:r>
            <w:r w:rsidR="002F050A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, 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explicitation de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l’objectif en am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orce puis en clôture de séance rappel de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« 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Quoi ?  Pourquoi ? Comment ? Où s’en servir ?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 »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reconnaissance de ses compétences 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perçoit pas le sens de ce qui est demandé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D’activités concrètes 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(manipulation, symbolisation - 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dessin, photo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,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schéma abstrait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-,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contextes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variés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projets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(projets d’écriture, lectures réseaux, projets pluri, sorties culturelles, théâtre, création audio/ vidéo).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D’objectifs explicites pour chaque séance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N’a pas les </w:t>
            </w:r>
            <w:proofErr w:type="spellStart"/>
            <w:r w:rsidRPr="002707AE">
              <w:rPr>
                <w:rFonts w:eastAsia="Calibri" w:cstheme="minorHAnsi"/>
                <w:color w:val="000000" w:themeColor="text1"/>
                <w:sz w:val="20"/>
              </w:rPr>
              <w:t>pré-requis</w:t>
            </w:r>
            <w:proofErr w:type="spellEnd"/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 nécessaires ou ne les mobilise pas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</w:t>
            </w:r>
            <w:r w:rsidR="00615F5C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C82F68" w:rsidRPr="002707AE">
              <w:rPr>
                <w:rFonts w:eastAsia="Calibri" w:cstheme="minorHAnsi"/>
                <w:color w:val="000000" w:themeColor="text1"/>
                <w:sz w:val="18"/>
              </w:rPr>
              <w:t>re</w:t>
            </w:r>
            <w:r w:rsidR="00615F5C" w:rsidRPr="002707AE">
              <w:rPr>
                <w:rFonts w:eastAsia="Calibri" w:cstheme="minorHAnsi"/>
                <w:color w:val="000000" w:themeColor="text1"/>
                <w:sz w:val="18"/>
              </w:rPr>
              <w:t>travailler les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 notions préalables 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D’étayage fort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(outils à disposition, coups de pouce, …)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N’arrive pas à traiter toutes les informations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(tableau, surlignage,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espacement entre les mots, syntaxe courte pour les consignes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,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lecture orale avec un </w:t>
            </w:r>
            <w:proofErr w:type="spellStart"/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phonic</w:t>
            </w:r>
            <w:proofErr w:type="spellEnd"/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 phone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D’une réduction des paramètres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Lit les données de façon superficielle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sécurité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(connaitre les outils à dis</w:t>
            </w:r>
            <w:r w:rsidR="002F050A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position en cas de difficultés -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table d’appui avec docs d’aide,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aide-mémoire, cartes mentales, photos, affichage limité et très aéré</w:t>
            </w:r>
            <w:r w:rsidR="005C699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, tutorat</w:t>
            </w:r>
            <w:r w:rsidR="002F050A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-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(tableau, surlignage,</w:t>
            </w:r>
            <w:r w:rsidR="00615F5C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reformulation</w:t>
            </w:r>
            <w:r w:rsidR="00DF2155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 orale systématique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…)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des difficultés à construire une image mentale de la tâche demandée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</w:t>
            </w:r>
            <w:r w:rsidR="00615F5C" w:rsidRPr="002707AE">
              <w:rPr>
                <w:rFonts w:eastAsia="Calibri" w:cstheme="minorHAnsi"/>
                <w:color w:val="000000" w:themeColor="text1"/>
                <w:sz w:val="18"/>
              </w:rPr>
              <w:t>explicitation/ de reformulation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615F5C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</w:t>
            </w:r>
            <w:r w:rsidR="002F050A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ex :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un élève verbali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se puis un autre élève complète)</w:t>
            </w:r>
          </w:p>
          <w:p w:rsidR="00276CCE" w:rsidRPr="002707AE" w:rsidRDefault="00F31EC3" w:rsidP="006D5291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sécurité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(outils à disposition en cas de difficultés</w:t>
            </w:r>
            <w:r w:rsidR="00615F5C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,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outils de visualisation des attentes et des progrès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707AE" w:rsidRPr="002707AE" w:rsidTr="008369E4">
        <w:trPr>
          <w:trHeight w:val="879"/>
        </w:trPr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N’est pas autonome affectivement (besoin de la présence de l’adulte ou incapacité à se saisir des outils)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reconnaissance régulière de ses compétences 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sécurité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(connaitre les outils à disposition en cas de difficultés, automatiser leur usage, disposer d’une procédure détaillée en plusieurs étapes, …)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D’activités le mettant en situation de réussite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(objectifs atteignables)</w:t>
            </w:r>
          </w:p>
          <w:p w:rsidR="00276CCE" w:rsidRPr="002707AE" w:rsidRDefault="00F31EC3" w:rsidP="00E0132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D’outils de structuration du temps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(sablier, timer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,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explicitation des moments où</w:t>
            </w:r>
            <w:r w:rsidR="00E01326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 l’enfant pourra être aidé si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besoin)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Ne termine pas la tâche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parvient pas à maintenir son attention (ou uniquement sur les activités qui le motivent)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durée de travail aménagée</w:t>
            </w:r>
            <w:r w:rsidR="005C6996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5C6996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temps de pause inscrits sur un emploi du temps)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remobilisations régulières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séquençages des apprentissages et d’outils de structuration du temps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D’activités qui ont du sens pour lui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Est rapidement fatigable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5C6996" w:rsidRPr="002707AE" w:rsidRDefault="00F31EC3" w:rsidP="005C6996">
            <w:pPr>
              <w:spacing w:after="0" w:line="240" w:lineRule="auto"/>
              <w:rPr>
                <w:rFonts w:cs="Calibr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durée de travail aménagée</w:t>
            </w:r>
            <w:r w:rsidR="005C6996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(</w:t>
            </w:r>
            <w:r w:rsidR="00C26826" w:rsidRPr="002707AE">
              <w:rPr>
                <w:rFonts w:cs="Calibri"/>
                <w:i/>
                <w:color w:val="000000" w:themeColor="text1"/>
                <w:sz w:val="18"/>
              </w:rPr>
              <w:t xml:space="preserve">outil 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pour visualiser la quantité de travail journalière demandée)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D’adaptations permettant de préserver son enveloppe attentionnelle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(exemple : privilégier l’oral ou adaptation du support </w:t>
            </w:r>
            <w:r w:rsidR="00E01326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si difficulté d’accès à l’écrit)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une vitesse d’exécution faible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D’adaptations des tâches en fonction de l’objectif ciblé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D’exercices d’automatisation </w:t>
            </w:r>
            <w:r w:rsidR="00C26826" w:rsidRPr="002707AE">
              <w:rPr>
                <w:rFonts w:eastAsia="Calibri" w:cstheme="minorHAnsi"/>
                <w:bCs/>
                <w:color w:val="000000" w:themeColor="text1"/>
                <w:sz w:val="18"/>
              </w:rPr>
              <w:t>varié</w:t>
            </w:r>
            <w:r w:rsidRPr="002707AE">
              <w:rPr>
                <w:rFonts w:eastAsia="Calibri" w:cstheme="minorHAnsi"/>
                <w:bCs/>
                <w:color w:val="000000" w:themeColor="text1"/>
                <w:sz w:val="18"/>
              </w:rPr>
              <w:t xml:space="preserve">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(oral, écrit, seul, confrontation binôme)</w:t>
            </w:r>
            <w:r w:rsidRPr="002707AE">
              <w:rPr>
                <w:rFonts w:eastAsia="Calibri" w:cstheme="minorHAnsi"/>
                <w:bCs/>
                <w:color w:val="000000" w:themeColor="text1"/>
                <w:sz w:val="18"/>
              </w:rPr>
              <w:t>, fiches autocorrectives.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N’a pas assez d’estime (de ressources internes) pour persévérer face à une difficulté / a besoin d’être soutenu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reconnaissance de ses compétences </w:t>
            </w:r>
            <w:r w:rsidR="005C6996" w:rsidRPr="002707AE">
              <w:rPr>
                <w:rFonts w:cstheme="minorHAnsi"/>
                <w:i/>
                <w:color w:val="000000" w:themeColor="text1"/>
                <w:sz w:val="18"/>
              </w:rPr>
              <w:t>(carnet de réussites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 ou  autre outil de visualisation des progrès)</w:t>
            </w:r>
          </w:p>
          <w:p w:rsidR="00276CCE" w:rsidRPr="002707AE" w:rsidRDefault="00F31EC3" w:rsidP="00C2682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sécurité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(connaitre les outils à disposition en cas de difficultés </w:t>
            </w:r>
            <w:r w:rsidR="00C26826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-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table d’appui avec manip, affichage limité, fiche- procédure</w:t>
            </w:r>
            <w:r w:rsidR="00C268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-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, groupe de besoin encadré, confrontation avec un </w:t>
            </w:r>
            <w:r w:rsidR="00E013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pair)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 des difficultés de mémorisation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un empan mnésique réduit (mémoire de travail et/ou mémoire à long terme)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stratégies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visualisation mentale, mots-repères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) 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et supports de mémorisation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(aide-mémoire, cartes mentales, traces écrites)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D’automatisation des procédures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(fiches autocorrectives)</w:t>
            </w:r>
          </w:p>
          <w:p w:rsidR="00276CCE" w:rsidRPr="002707AE" w:rsidRDefault="00F31EC3" w:rsidP="006D5291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remobilisations régulières</w:t>
            </w:r>
            <w:r w:rsidR="006D5291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et d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’outils d’aide à la remobilisation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(supports, moyens mnémotechniques, ..)</w:t>
            </w:r>
          </w:p>
        </w:tc>
      </w:tr>
      <w:tr w:rsidR="002707AE" w:rsidRPr="002707AE" w:rsidTr="008369E4">
        <w:trPr>
          <w:trHeight w:val="221"/>
        </w:trPr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N’a pas de stratégies de mémorisation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techniques de mémorisation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(répétition à voix basse, à l’unisson, à tour de rôle, rythme/musique/écoute audio, lectures croisées,  ...)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 xml:space="preserve">A des difficultés pour réinvestir une notion dans </w:t>
            </w: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lastRenderedPageBreak/>
              <w:t>un autre contexte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lastRenderedPageBreak/>
              <w:t>Ne fait pas le lien entre des connaissances acquises et la situation proposée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D’être confronté à des situations variées</w:t>
            </w:r>
          </w:p>
          <w:p w:rsidR="00276CCE" w:rsidRPr="002707AE" w:rsidRDefault="00F31EC3" w:rsidP="00C2682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D’explicitation des compétences acquises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(expliciter où et quand </w:t>
            </w:r>
            <w:r w:rsidR="00C268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l’élève peut se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servir de cette méthode/ce savoir)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Mauvaise automatisation des procédures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techniques et supports de mémorisation 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temps et d’entrainement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(fiches autocorrectives)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 des difficultés de compréhension d’un discours écrit ou oral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des problèmes de vision / d’audition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N’a pas les </w:t>
            </w:r>
            <w:proofErr w:type="spellStart"/>
            <w:r w:rsidRPr="002707AE">
              <w:rPr>
                <w:rFonts w:eastAsia="Calibri" w:cstheme="minorHAnsi"/>
                <w:color w:val="000000" w:themeColor="text1"/>
                <w:sz w:val="20"/>
              </w:rPr>
              <w:t>pré-requis</w:t>
            </w:r>
            <w:proofErr w:type="spellEnd"/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 nécessaires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</w:t>
            </w:r>
            <w:r w:rsidR="00C82F68" w:rsidRPr="002707AE">
              <w:rPr>
                <w:rFonts w:cstheme="minorHAnsi"/>
                <w:color w:val="000000" w:themeColor="text1"/>
                <w:sz w:val="18"/>
              </w:rPr>
              <w:t>retravailler</w:t>
            </w:r>
            <w:r w:rsidR="00615F5C" w:rsidRPr="002707AE">
              <w:rPr>
                <w:rFonts w:cstheme="minorHAnsi"/>
                <w:color w:val="000000" w:themeColor="text1"/>
                <w:sz w:val="18"/>
              </w:rPr>
              <w:t xml:space="preserve"> les 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>notions préalables</w:t>
            </w:r>
            <w:r w:rsidR="005C6996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615F5C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travail du vocabulaire scolaire spécifique</w:t>
            </w:r>
            <w:r w:rsidR="00615F5C" w:rsidRPr="002707AE">
              <w:rPr>
                <w:rFonts w:cs="Calibri"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D’étayage fort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(outils à disposition, coups de pouce, 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 xml:space="preserve">reformulation des consignes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…)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fait pas d’inférences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D’un enseignement explicite des stratégies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(tableau, surlignage,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photos, vidéos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fait pas le lien entre des connaissances acquises et la situation proposée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D’être confronté à des situations variées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D’explicitation des compétences acquises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D’un enseignement explicite des </w:t>
            </w:r>
            <w:r w:rsidR="00E01326" w:rsidRPr="002707AE">
              <w:rPr>
                <w:rFonts w:eastAsia="Calibri" w:cstheme="minorHAnsi"/>
                <w:color w:val="000000" w:themeColor="text1"/>
                <w:sz w:val="18"/>
              </w:rPr>
              <w:t>stratégies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 visant à développer une flexibilité mentale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mémorise pas les informations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stratégies pour retrouver les informations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(mots-clés, surlignage, image,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carte mentale, images séquentielles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 des difficultés pour entrer dans la lecture (reconnaissance des lettres, déchiffrage, fluence…)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N’a pas acquis les </w:t>
            </w:r>
            <w:proofErr w:type="spellStart"/>
            <w:r w:rsidRPr="002707AE">
              <w:rPr>
                <w:rFonts w:eastAsia="Calibri" w:cstheme="minorHAnsi"/>
                <w:color w:val="000000" w:themeColor="text1"/>
                <w:sz w:val="20"/>
              </w:rPr>
              <w:t>pré-requis</w:t>
            </w:r>
            <w:proofErr w:type="spellEnd"/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 (conscience phonologique, correspondance chaîne orale-chaîne écrite, principe alphabétique…)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</w:t>
            </w:r>
            <w:r w:rsidR="00C82F68" w:rsidRPr="002707AE">
              <w:rPr>
                <w:rFonts w:eastAsia="Calibri" w:cstheme="minorHAnsi"/>
                <w:color w:val="000000" w:themeColor="text1"/>
                <w:sz w:val="18"/>
              </w:rPr>
              <w:t xml:space="preserve">retravailler les 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notions préalables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(privilégier la phono</w:t>
            </w:r>
            <w:r w:rsidR="00E013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logie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sous forme d’essais d’écriture)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N’a pas de projet de lecteur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615F5C" w:rsidRPr="002707AE" w:rsidRDefault="00F31EC3" w:rsidP="00615F5C">
            <w:pPr>
              <w:spacing w:after="0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D’activités concrètes</w:t>
            </w:r>
            <w:r w:rsidR="00615F5C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(varier les supports, faire des gâteaux pour travailler sur la recette…)</w:t>
            </w:r>
          </w:p>
          <w:p w:rsidR="00276CCE" w:rsidRPr="002707AE" w:rsidRDefault="00F31EC3" w:rsidP="00615F5C">
            <w:pPr>
              <w:spacing w:after="0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projets </w:t>
            </w:r>
          </w:p>
          <w:p w:rsidR="00276CCE" w:rsidRPr="002707AE" w:rsidRDefault="00F31EC3" w:rsidP="00615F5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D’objectifs explicites pour chaque séance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Manque de lexique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D’étayage fort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r</w:t>
            </w:r>
            <w:r w:rsidR="00E01326" w:rsidRPr="002707AE">
              <w:rPr>
                <w:rFonts w:cstheme="minorHAnsi"/>
                <w:i/>
                <w:color w:val="000000" w:themeColor="text1"/>
                <w:sz w:val="18"/>
              </w:rPr>
              <w:t>épertoire lexical à disposition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, coups de pouce,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dictionnaire vi</w:t>
            </w:r>
            <w:r w:rsidR="00E013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suel, images et pictogrammes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D’un enseignement explicite, progressif et systématique du vocabulaire pour augmenter le lexique </w:t>
            </w:r>
            <w:r w:rsidRPr="002707AE">
              <w:rPr>
                <w:rFonts w:eastAsia="Calibri" w:cstheme="minorHAnsi"/>
                <w:bCs/>
                <w:color w:val="000000" w:themeColor="text1"/>
                <w:sz w:val="18"/>
              </w:rPr>
              <w:t>(</w:t>
            </w:r>
            <w:proofErr w:type="spellStart"/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Narramus</w:t>
            </w:r>
            <w:proofErr w:type="spellEnd"/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, démarche </w:t>
            </w:r>
            <w:proofErr w:type="spellStart"/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Goigoux-Cèbe</w:t>
            </w:r>
            <w:proofErr w:type="spellEnd"/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  <w:r w:rsidRPr="002707AE">
              <w:rPr>
                <w:rFonts w:eastAsia="Calibri" w:cstheme="minorHAnsi"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….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 des difficultés pour écrire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A des difficultés </w:t>
            </w:r>
            <w:proofErr w:type="spellStart"/>
            <w:r w:rsidRPr="002707AE">
              <w:rPr>
                <w:rFonts w:eastAsia="Calibri" w:cstheme="minorHAnsi"/>
                <w:color w:val="000000" w:themeColor="text1"/>
                <w:sz w:val="20"/>
              </w:rPr>
              <w:t>grapho</w:t>
            </w:r>
            <w:proofErr w:type="spellEnd"/>
            <w:r w:rsidRPr="002707AE">
              <w:rPr>
                <w:rFonts w:eastAsia="Calibri" w:cstheme="minorHAnsi"/>
                <w:color w:val="000000" w:themeColor="text1"/>
                <w:sz w:val="20"/>
              </w:rPr>
              <w:t>-motrices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matériel adapté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(guide-doigt, lignage couleur ou agrandi, stylo ergonomique)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D’adaptation des supports de travail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(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écrire en capitales si cursive trop coûteuse, copie partielle)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temps et d’entrainement</w:t>
            </w:r>
            <w:r w:rsidR="005C6996" w:rsidRPr="002707AE">
              <w:rPr>
                <w:rFonts w:cstheme="minorHAnsi"/>
                <w:color w:val="000000" w:themeColor="text1"/>
                <w:sz w:val="18"/>
              </w:rPr>
              <w:t xml:space="preserve"> </w:t>
            </w:r>
            <w:r w:rsidR="005C6996" w:rsidRPr="002707AE">
              <w:rPr>
                <w:rFonts w:cstheme="minorHAnsi"/>
                <w:i/>
                <w:color w:val="000000" w:themeColor="text1"/>
                <w:sz w:val="18"/>
              </w:rPr>
              <w:t>(pâte à modeler, lettres rugueuses)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un empan mnésique réduit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stratégies et supports de mémorisation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(tracé mental, verbalisation précise hauteur et sens des tracés, tracer avec le doigt pour réactiver avant d’écrire au stylo)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se repère par pas sur une feuille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repères spatiaux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(points, codage pour saut de lignes ...)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D’adaptation des supports de travail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(papier quadrillé, pointé ….)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…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</w:p>
        </w:tc>
      </w:tr>
      <w:tr w:rsidR="002707AE" w:rsidRPr="002707AE" w:rsidTr="008369E4">
        <w:tc>
          <w:tcPr>
            <w:tcW w:w="2405" w:type="dxa"/>
            <w:vMerge w:val="restart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Est perdu face à une tâche complexe (résolution de problème, production d’écrit, …)</w:t>
            </w: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Rencontre des difficultés pour anticiper ou planifier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séquençages des apprentissages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(plan de travail explicite et concret,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grilles simples et aérées pour 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visualiser les </w:t>
            </w:r>
            <w:r w:rsidR="00C268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critères de réalisation /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d’évaluation)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D’une réduction des paramètres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peut pas dire ce qu’il faut faire pour résoudre la tâche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séquençages des apprentissages 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D’une réduction des paramètres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</w:t>
            </w:r>
            <w:r w:rsidR="00C82F68" w:rsidRPr="002707AE">
              <w:rPr>
                <w:rFonts w:cstheme="minorHAnsi"/>
                <w:color w:val="000000" w:themeColor="text1"/>
                <w:sz w:val="18"/>
              </w:rPr>
              <w:t>retravailler</w:t>
            </w:r>
            <w:r w:rsidR="00615F5C" w:rsidRPr="002707AE">
              <w:rPr>
                <w:rFonts w:cstheme="minorHAnsi"/>
                <w:color w:val="000000" w:themeColor="text1"/>
                <w:sz w:val="18"/>
              </w:rPr>
              <w:t xml:space="preserve"> les 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notions préalables 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D’un enseignement explicite 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sait pas communiquer les résultats de son action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D’étayage fort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(outils à disposition, coups de pouce, …)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situations d’échanges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(cercles d’auteur en prod</w:t>
            </w:r>
            <w:r w:rsidR="00E013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uction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 d’écrit, dictées négociées, discussion philo</w:t>
            </w:r>
            <w:r w:rsidR="00C26826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sophique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(tableau, surlignage, …)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N’est pas attentif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Problèmes d’audition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modes et/ou de supports de présentation différents 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N’a pas les </w:t>
            </w:r>
            <w:proofErr w:type="spellStart"/>
            <w:r w:rsidRPr="002707AE">
              <w:rPr>
                <w:rFonts w:eastAsia="Calibri" w:cstheme="minorHAnsi"/>
                <w:color w:val="000000" w:themeColor="text1"/>
                <w:sz w:val="20"/>
              </w:rPr>
              <w:t>pré-requis</w:t>
            </w:r>
            <w:proofErr w:type="spellEnd"/>
            <w:r w:rsidRPr="002707AE">
              <w:rPr>
                <w:rFonts w:eastAsia="Calibri" w:cstheme="minorHAnsi"/>
                <w:color w:val="000000" w:themeColor="text1"/>
                <w:sz w:val="20"/>
              </w:rPr>
              <w:t xml:space="preserve"> nécessaires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</w:t>
            </w:r>
            <w:r w:rsidR="00C82F68" w:rsidRPr="002707AE">
              <w:rPr>
                <w:rFonts w:cstheme="minorHAnsi"/>
                <w:color w:val="000000" w:themeColor="text1"/>
                <w:sz w:val="18"/>
              </w:rPr>
              <w:t>retravailler</w:t>
            </w:r>
            <w:r w:rsidR="00615F5C" w:rsidRPr="002707AE">
              <w:rPr>
                <w:rFonts w:cstheme="minorHAnsi"/>
                <w:color w:val="000000" w:themeColor="text1"/>
                <w:sz w:val="18"/>
              </w:rPr>
              <w:t xml:space="preserve"> les 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>notions préalables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perçoit pas le sens de ce qui est demandé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D’objectifs explicites pour chaque séance</w:t>
            </w:r>
            <w:r w:rsidR="00615F5C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="00615F5C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(expliciter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les critères de réussite)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une capacité de concentration limitée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durée de travail aménagée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marqueurs </w:t>
            </w:r>
            <w:r w:rsidR="005C6996" w:rsidRPr="002707AE">
              <w:rPr>
                <w:rFonts w:cstheme="minorHAnsi"/>
                <w:color w:val="000000" w:themeColor="text1"/>
                <w:sz w:val="18"/>
              </w:rPr>
              <w:t xml:space="preserve">temporels </w:t>
            </w:r>
            <w:r w:rsidR="005C6996" w:rsidRPr="002707AE">
              <w:rPr>
                <w:rFonts w:cstheme="minorHAnsi"/>
                <w:i/>
                <w:color w:val="000000" w:themeColor="text1"/>
                <w:sz w:val="18"/>
              </w:rPr>
              <w:t>(sablier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, </w:t>
            </w:r>
            <w:r w:rsidR="00E01326" w:rsidRPr="002707AE">
              <w:rPr>
                <w:rFonts w:cstheme="minorHAnsi"/>
                <w:i/>
                <w:color w:val="000000" w:themeColor="text1"/>
                <w:sz w:val="18"/>
              </w:rPr>
              <w:t>timer</w:t>
            </w:r>
            <w:r w:rsidR="00615F5C"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, 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>explicitation des moments o</w:t>
            </w:r>
            <w:r w:rsidR="00E01326" w:rsidRPr="002707AE">
              <w:rPr>
                <w:rFonts w:cstheme="minorHAnsi"/>
                <w:i/>
                <w:color w:val="000000" w:themeColor="text1"/>
                <w:sz w:val="18"/>
              </w:rPr>
              <w:t>ù l’enfant pourra être aidé si</w:t>
            </w:r>
            <w:r w:rsidR="00615F5C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 besoin)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D’activités qui ont du sens pour lui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D’un enseignement explicite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 xml:space="preserve">(Mon cerveau à l’école, </w:t>
            </w:r>
            <w:proofErr w:type="spellStart"/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Atole</w:t>
            </w:r>
            <w:proofErr w:type="spellEnd"/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)</w:t>
            </w:r>
          </w:p>
        </w:tc>
      </w:tr>
      <w:tr w:rsidR="002707AE" w:rsidRPr="002707AE" w:rsidTr="008369E4">
        <w:trPr>
          <w:trHeight w:val="498"/>
        </w:trPr>
        <w:tc>
          <w:tcPr>
            <w:tcW w:w="15730" w:type="dxa"/>
            <w:gridSpan w:val="4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18"/>
              </w:rPr>
              <w:lastRenderedPageBreak/>
              <w:t>DIFFICULTES RELATIONNELLES</w:t>
            </w:r>
          </w:p>
        </w:tc>
      </w:tr>
      <w:tr w:rsidR="002707AE" w:rsidRPr="002707AE" w:rsidTr="008369E4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Constat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Au-delà du constat…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276CCE" w:rsidRPr="002707AE" w:rsidRDefault="002707A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Besoins éventuels</w:t>
            </w:r>
            <w:r w:rsidRPr="002707AE">
              <w:rPr>
                <w:rFonts w:eastAsia="Calibri" w:cstheme="minorHAnsi"/>
                <w:b/>
                <w:i/>
                <w:color w:val="000000" w:themeColor="text1"/>
                <w:sz w:val="20"/>
              </w:rPr>
              <w:t xml:space="preserve"> (et exemples d’actions possibles)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 xml:space="preserve">A des difficultés pour communiquer 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des problèmes d’élocution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D’outils de communication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(pictogrammes, gestes, </w:t>
            </w:r>
            <w:r w:rsidR="00C82F68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outils numériques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…)</w:t>
            </w:r>
          </w:p>
        </w:tc>
      </w:tr>
      <w:tr w:rsidR="002707AE" w:rsidRPr="002707AE" w:rsidTr="008369E4">
        <w:tc>
          <w:tcPr>
            <w:tcW w:w="2405" w:type="dxa"/>
            <w:vMerge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Manque de confiance face au groupe classe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sécurité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D’être reconnu et valorisé / d’avoir un rôle au sein d’un groupe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 des difficultés à gérer ses émotions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supports d’expression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temps collectifs dédiés à l’expression des émotions en utilisant des médiations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(album, texte littéraire, dilemmes moraux</w:t>
            </w:r>
            <w:r w:rsidR="005C6996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, 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groupe de parole, ateliers philos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…)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A des difficultés à respecter les règles de vie</w:t>
            </w:r>
          </w:p>
        </w:tc>
        <w:tc>
          <w:tcPr>
            <w:tcW w:w="411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connait pas le cadre de fonctionnement de la classe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6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  <w:bottom w:val="single" w:sz="6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D’un cadre reposant sur des règles peu nombreuses et explicites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(ex : les trois règles d’or en lutte)</w:t>
            </w:r>
          </w:p>
          <w:p w:rsidR="00276CCE" w:rsidRPr="002707AE" w:rsidRDefault="005C699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cstheme="minorHAnsi"/>
                <w:color w:val="000000" w:themeColor="text1"/>
                <w:sz w:val="18"/>
              </w:rPr>
              <w:t>De responsabilisation/ cohérence avec l’environnement familial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Accepte difficilement les sanctions, ne les comprend pas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D’une explicitation du sens de la règle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distinction entre l’acte transgressif et sa personne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sanctions qui font sens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(réparation, …) 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>et qui sont proportionnées en regard de l’acte commis</w:t>
            </w:r>
          </w:p>
          <w:p w:rsidR="005C6996" w:rsidRPr="002707AE" w:rsidRDefault="005C699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cstheme="minorHAnsi"/>
                <w:color w:val="000000" w:themeColor="text1"/>
                <w:sz w:val="18"/>
              </w:rPr>
              <w:t>De cohérence avec l’environnement familial</w:t>
            </w:r>
          </w:p>
        </w:tc>
      </w:tr>
      <w:tr w:rsidR="002707AE" w:rsidRPr="002707AE" w:rsidTr="008369E4">
        <w:tc>
          <w:tcPr>
            <w:tcW w:w="2405" w:type="dxa"/>
            <w:vMerge w:val="restart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Difficultés dans sa relation aux autres</w:t>
            </w: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maitrise pas les codes sociaux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D’un enseignement explicite des codes sociaux 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Ne parvient pas à comprendre les sentiments et ressentis des autres (empathie)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temps dédiés à l’expression des émotions (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individuellement ou collectivement</w:t>
            </w: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) en utilisant des médiations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(album, texte littéraire, dilemmes moraux</w:t>
            </w:r>
            <w:r w:rsidR="005C6996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, </w:t>
            </w:r>
            <w:r w:rsidR="005C6996" w:rsidRPr="002707AE">
              <w:rPr>
                <w:rFonts w:cstheme="minorHAnsi"/>
                <w:i/>
                <w:color w:val="000000" w:themeColor="text1"/>
                <w:sz w:val="18"/>
              </w:rPr>
              <w:t xml:space="preserve">boîte à colères, 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jeux de coopération, groupes de parole, ateliers philo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…)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Refuse de coopérer, de travailler en groupe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sécurité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D’être reconnu / d’avoir un rôle au sein d’un groupe</w:t>
            </w:r>
          </w:p>
        </w:tc>
      </w:tr>
      <w:tr w:rsidR="002707A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Manque de confiance, grande timidité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sécurité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réassurance régulière</w:t>
            </w:r>
            <w:r w:rsidR="005C6996" w:rsidRPr="002707AE">
              <w:rPr>
                <w:rFonts w:eastAsia="Calibri" w:cstheme="minorHAnsi"/>
                <w:color w:val="000000" w:themeColor="text1"/>
                <w:sz w:val="18"/>
              </w:rPr>
              <w:t xml:space="preserve"> / </w:t>
            </w:r>
            <w:r w:rsidR="005C6996" w:rsidRPr="002707AE">
              <w:rPr>
                <w:rFonts w:cs="Calibri"/>
                <w:color w:val="000000" w:themeColor="text1"/>
                <w:sz w:val="18"/>
              </w:rPr>
              <w:t>valorisation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D’objectifs explicites</w:t>
            </w:r>
          </w:p>
        </w:tc>
      </w:tr>
      <w:tr w:rsidR="002707AE" w:rsidRPr="002707AE" w:rsidTr="008369E4">
        <w:trPr>
          <w:trHeight w:val="977"/>
        </w:trPr>
        <w:tc>
          <w:tcPr>
            <w:tcW w:w="2405" w:type="dxa"/>
            <w:vMerge w:val="restart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b/>
                <w:color w:val="000000" w:themeColor="text1"/>
                <w:sz w:val="20"/>
              </w:rPr>
              <w:t>Ne maitrise pas son comportement / ses émotions</w:t>
            </w:r>
          </w:p>
        </w:tc>
        <w:tc>
          <w:tcPr>
            <w:tcW w:w="4110" w:type="dxa"/>
            <w:tcBorders>
              <w:top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Les émotions sont inhibées, ou ressenties et exprimées très fortement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single" w:sz="18" w:space="0" w:color="000000"/>
            </w:tcBorders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supports d’expression, de moments pour exprimer ses affects </w:t>
            </w:r>
            <w:r w:rsidR="00C82F68" w:rsidRPr="002707AE">
              <w:rPr>
                <w:rFonts w:cstheme="minorHAnsi"/>
                <w:i/>
                <w:color w:val="000000" w:themeColor="text1"/>
                <w:sz w:val="18"/>
              </w:rPr>
              <w:t>(baromètre des émotions)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temps collectif dédiés à l’expression des émotions en utilisant des médiations 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>(album, texte littéraire, dilemmes moraux …)</w:t>
            </w:r>
          </w:p>
          <w:p w:rsidR="005C6996" w:rsidRPr="002707AE" w:rsidRDefault="005C699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cs="Calibri"/>
                <w:color w:val="000000" w:themeColor="text1"/>
                <w:sz w:val="18"/>
              </w:rPr>
              <w:t xml:space="preserve">De soutien psychologique </w:t>
            </w:r>
            <w:r w:rsidRPr="002707AE">
              <w:rPr>
                <w:rFonts w:cs="Calibri"/>
                <w:i/>
                <w:color w:val="000000" w:themeColor="text1"/>
                <w:sz w:val="18"/>
              </w:rPr>
              <w:t>(hors classe)</w:t>
            </w:r>
          </w:p>
        </w:tc>
      </w:tr>
      <w:tr w:rsidR="002707AE" w:rsidRPr="002707AE" w:rsidTr="008369E4">
        <w:trPr>
          <w:trHeight w:val="778"/>
        </w:trPr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N’arrive pas à verbaliser ses émotions, passe à l’acte</w:t>
            </w:r>
          </w:p>
        </w:tc>
        <w:tc>
          <w:tcPr>
            <w:tcW w:w="426" w:type="dxa"/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supports d’expression, de moments pour exprimer ses affects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(activités artistiques, théâtrales, sportives</w:t>
            </w:r>
            <w:r w:rsidR="00C82F68" w:rsidRPr="002707AE">
              <w:rPr>
                <w:rFonts w:cs="Calibri"/>
                <w:i/>
                <w:color w:val="000000" w:themeColor="text1"/>
                <w:sz w:val="18"/>
              </w:rPr>
              <w:t xml:space="preserve">, </w:t>
            </w:r>
            <w:r w:rsidR="00C82F68" w:rsidRPr="002707AE">
              <w:rPr>
                <w:rFonts w:cstheme="minorHAnsi"/>
                <w:i/>
                <w:color w:val="000000" w:themeColor="text1"/>
                <w:sz w:val="18"/>
              </w:rPr>
              <w:t>baromètre des émotions</w:t>
            </w:r>
            <w:r w:rsidR="005C6996" w:rsidRPr="002707AE">
              <w:rPr>
                <w:rFonts w:cs="Calibri"/>
                <w:i/>
                <w:color w:val="000000" w:themeColor="text1"/>
                <w:sz w:val="18"/>
              </w:rPr>
              <w:t>…)</w:t>
            </w:r>
          </w:p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temps collectif dédiés à l’expression des émotions en utilisant des médiations</w:t>
            </w:r>
            <w:r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 (album, texte littéraire, dilemmes moraux …)</w:t>
            </w:r>
          </w:p>
        </w:tc>
      </w:tr>
      <w:tr w:rsidR="00276CCE" w:rsidRPr="002707AE" w:rsidTr="008369E4">
        <w:tc>
          <w:tcPr>
            <w:tcW w:w="2405" w:type="dxa"/>
            <w:vMerge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:rsidR="00276CCE" w:rsidRPr="002707AE" w:rsidRDefault="00F31EC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707AE">
              <w:rPr>
                <w:rFonts w:eastAsia="Calibri" w:cstheme="minorHAnsi"/>
                <w:color w:val="000000" w:themeColor="text1"/>
                <w:sz w:val="20"/>
              </w:rPr>
              <w:t>Accepte difficilement les contraintes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276CCE" w:rsidRPr="002707AE" w:rsidRDefault="00276CC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bottom w:val="single" w:sz="18" w:space="0" w:color="000000"/>
            </w:tcBorders>
          </w:tcPr>
          <w:p w:rsidR="00EA4645" w:rsidRPr="002707AE" w:rsidRDefault="00F31EC3" w:rsidP="00EA4645">
            <w:pPr>
              <w:spacing w:after="0" w:line="240" w:lineRule="auto"/>
              <w:rPr>
                <w:rFonts w:cs="Calibr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 xml:space="preserve">De rappels réguliers du sens de </w:t>
            </w:r>
            <w:r w:rsidR="00EA4645" w:rsidRPr="002707AE">
              <w:rPr>
                <w:rFonts w:cs="Calibri"/>
                <w:color w:val="000000" w:themeColor="text1"/>
                <w:sz w:val="18"/>
              </w:rPr>
              <w:t>l’action</w:t>
            </w:r>
            <w:r w:rsidR="00EA4645" w:rsidRPr="002707AE">
              <w:rPr>
                <w:rFonts w:cs="Calibri"/>
                <w:i/>
                <w:color w:val="000000" w:themeColor="text1"/>
                <w:sz w:val="18"/>
              </w:rPr>
              <w:t xml:space="preserve"> (y compris lors de courts temps réguliers d’échanges individualisés enseignant/élève)</w:t>
            </w:r>
          </w:p>
          <w:p w:rsidR="00276CCE" w:rsidRPr="002707AE" w:rsidRDefault="00F31EC3" w:rsidP="00E01326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2707AE">
              <w:rPr>
                <w:rFonts w:eastAsia="Calibri" w:cstheme="minorHAnsi"/>
                <w:color w:val="000000" w:themeColor="text1"/>
                <w:sz w:val="18"/>
              </w:rPr>
              <w:t>De sou</w:t>
            </w:r>
            <w:r w:rsidR="00C26826" w:rsidRPr="002707AE">
              <w:rPr>
                <w:rFonts w:eastAsia="Calibri" w:cstheme="minorHAnsi"/>
                <w:color w:val="000000" w:themeColor="text1"/>
                <w:sz w:val="18"/>
              </w:rPr>
              <w:t>tien psychologique (</w:t>
            </w:r>
            <w:r w:rsidR="00C26826" w:rsidRPr="002707AE">
              <w:rPr>
                <w:rFonts w:eastAsia="Calibri" w:cstheme="minorHAnsi"/>
                <w:i/>
                <w:color w:val="000000" w:themeColor="text1"/>
                <w:sz w:val="18"/>
              </w:rPr>
              <w:t xml:space="preserve">hors classe, </w:t>
            </w:r>
            <w:r w:rsidRPr="002707AE">
              <w:rPr>
                <w:rFonts w:eastAsia="Calibri" w:cstheme="minorHAnsi"/>
                <w:bCs/>
                <w:i/>
                <w:color w:val="000000" w:themeColor="text1"/>
                <w:sz w:val="18"/>
              </w:rPr>
              <w:t>dispositif de guidance parentale des mairies type PRE)</w:t>
            </w:r>
          </w:p>
        </w:tc>
      </w:tr>
    </w:tbl>
    <w:p w:rsidR="00276CCE" w:rsidRPr="002707AE" w:rsidRDefault="008369E4">
      <w:pPr>
        <w:rPr>
          <w:color w:val="000000" w:themeColor="text1"/>
        </w:rPr>
      </w:pPr>
      <w:bookmarkStart w:id="0" w:name="_GoBack"/>
      <w:bookmarkEnd w:id="0"/>
      <w:r>
        <w:rPr>
          <w:rFonts w:eastAsia="Calibri" w:cstheme="minorHAnsi"/>
          <w:b/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0047601C" wp14:editId="4D3EC592">
            <wp:simplePos x="0" y="0"/>
            <wp:positionH relativeFrom="margin">
              <wp:align>center</wp:align>
            </wp:positionH>
            <wp:positionV relativeFrom="paragraph">
              <wp:posOffset>428735</wp:posOffset>
            </wp:positionV>
            <wp:extent cx="3061252" cy="970519"/>
            <wp:effectExtent l="0" t="0" r="635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SDEN 57 acNANCY METZ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52" cy="970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6CCE" w:rsidRPr="002707AE">
      <w:headerReference w:type="default" r:id="rId8"/>
      <w:pgSz w:w="16838" w:h="11906" w:orient="landscape"/>
      <w:pgMar w:top="454" w:right="567" w:bottom="340" w:left="567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CE" w:rsidRDefault="001E07CE">
      <w:pPr>
        <w:spacing w:after="0" w:line="240" w:lineRule="auto"/>
      </w:pPr>
      <w:r>
        <w:separator/>
      </w:r>
    </w:p>
  </w:endnote>
  <w:endnote w:type="continuationSeparator" w:id="0">
    <w:p w:rsidR="001E07CE" w:rsidRDefault="001E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CE" w:rsidRDefault="001E07CE">
      <w:pPr>
        <w:spacing w:after="0" w:line="240" w:lineRule="auto"/>
      </w:pPr>
      <w:r>
        <w:separator/>
      </w:r>
    </w:p>
  </w:footnote>
  <w:footnote w:type="continuationSeparator" w:id="0">
    <w:p w:rsidR="001E07CE" w:rsidRDefault="001E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CE" w:rsidRDefault="001E07CE">
    <w:pPr>
      <w:pStyle w:val="En-tte"/>
    </w:pPr>
    <w:r>
      <w:pict>
        <v:shape id="shapetype_136" o:spid="_x0000_s2050" style="position:absolute;margin-left:0;margin-top:0;width:50pt;height:50pt;z-index:251657216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E"/>
    <w:rsid w:val="001E07CE"/>
    <w:rsid w:val="002707AE"/>
    <w:rsid w:val="00276CCE"/>
    <w:rsid w:val="002E78FC"/>
    <w:rsid w:val="002F050A"/>
    <w:rsid w:val="005C6996"/>
    <w:rsid w:val="00615F5C"/>
    <w:rsid w:val="006D5291"/>
    <w:rsid w:val="0070658F"/>
    <w:rsid w:val="008369E4"/>
    <w:rsid w:val="00BE1000"/>
    <w:rsid w:val="00C26826"/>
    <w:rsid w:val="00C82F68"/>
    <w:rsid w:val="00C92029"/>
    <w:rsid w:val="00DF2155"/>
    <w:rsid w:val="00E01326"/>
    <w:rsid w:val="00EA4645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4B8353-89C5-4C89-946F-589FCE6C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12667"/>
  </w:style>
  <w:style w:type="character" w:customStyle="1" w:styleId="PieddepageCar">
    <w:name w:val="Pied de page Car"/>
    <w:basedOn w:val="Policepardfaut"/>
    <w:link w:val="Pieddepage"/>
    <w:uiPriority w:val="99"/>
    <w:qFormat/>
    <w:rsid w:val="0081266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81266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12667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A0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7CF5-FDA7-444C-804C-A96583E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mjanin</dc:creator>
  <dc:description/>
  <cp:lastModifiedBy>dcouvert</cp:lastModifiedBy>
  <cp:revision>9</cp:revision>
  <dcterms:created xsi:type="dcterms:W3CDTF">2021-06-17T11:11:00Z</dcterms:created>
  <dcterms:modified xsi:type="dcterms:W3CDTF">2021-07-12T09:37:00Z</dcterms:modified>
  <dc:language>fr-FR</dc:language>
</cp:coreProperties>
</file>