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61EA" w14:textId="77777777" w:rsidR="00E846B5" w:rsidRDefault="00000000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FRANÇAIS</w:t>
      </w:r>
    </w:p>
    <w:p w14:paraId="19A22D18" w14:textId="77777777" w:rsidR="00E846B5" w:rsidRDefault="00E846B5">
      <w:pPr>
        <w:rPr>
          <w:rFonts w:ascii="Comic Sans MS" w:hAnsi="Comic Sans M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0"/>
        <w:gridCol w:w="14154"/>
      </w:tblGrid>
      <w:tr w:rsidR="00E846B5" w14:paraId="4CB8FF99" w14:textId="77777777">
        <w:tc>
          <w:tcPr>
            <w:tcW w:w="1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DA8B873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Les genres littéraires</w:t>
            </w:r>
          </w:p>
        </w:tc>
      </w:tr>
      <w:tr w:rsidR="00E846B5" w14:paraId="2711EA8B" w14:textId="77777777"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14:paraId="7032791B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roman</w:t>
            </w:r>
          </w:p>
          <w:p w14:paraId="5B5CE98F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 nouvelle</w:t>
            </w:r>
          </w:p>
          <w:p w14:paraId="1678EA3E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recueil</w:t>
            </w:r>
          </w:p>
          <w:p w14:paraId="37BF1774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conte</w:t>
            </w:r>
          </w:p>
          <w:p w14:paraId="38F38932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mythe</w:t>
            </w:r>
          </w:p>
        </w:tc>
        <w:tc>
          <w:tcPr>
            <w:tcW w:w="1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04A6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 roman est une histoire longue avec de nombreux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personnages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et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évènements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D364B11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Une nouvelle est une histoire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courte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avec peu de personnages qui se finit par une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chute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6EAA145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 recueil est un livre dans lequel on trouve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plusieurs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œuvres (nouvelles, contes, …).</w:t>
            </w:r>
          </w:p>
          <w:p w14:paraId="4239A297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 conte est une histoire qui donne une morale, une leçon.</w:t>
            </w:r>
          </w:p>
          <w:p w14:paraId="381F627B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 mythe est une histoire très ancienne qui raconte et explique la naissance, l’origine de quelque chose.</w:t>
            </w:r>
          </w:p>
        </w:tc>
      </w:tr>
      <w:tr w:rsidR="00E846B5" w14:paraId="6FD6DDE9" w14:textId="77777777"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14:paraId="755F9283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 théâtre</w:t>
            </w:r>
          </w:p>
        </w:tc>
        <w:tc>
          <w:tcPr>
            <w:tcW w:w="1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862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Une pièce de théâtre est un livre qui contient un texte de théâtre qui va être joué par des comédiens.</w:t>
            </w:r>
          </w:p>
        </w:tc>
      </w:tr>
      <w:tr w:rsidR="00E846B5" w14:paraId="5C32A19E" w14:textId="77777777"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14:paraId="210C2CA8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 poésie</w:t>
            </w:r>
          </w:p>
        </w:tc>
        <w:tc>
          <w:tcPr>
            <w:tcW w:w="1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E9FE" w14:textId="77777777" w:rsidR="00E846B5" w:rsidRDefault="00000000">
            <w:pPr>
              <w:pStyle w:val="Contenudetableau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 poème est un texte écrit le plus souvent en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vers,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parfois regroupés en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strophes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et qui peut comporter des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rimes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1D6F1D44" w14:textId="77777777" w:rsidR="00E846B5" w:rsidRDefault="00E846B5">
      <w:pPr>
        <w:rPr>
          <w:rFonts w:ascii="Comic Sans MS" w:hAnsi="Comic Sans M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14"/>
      </w:tblGrid>
      <w:tr w:rsidR="00E846B5" w14:paraId="22811141" w14:textId="77777777">
        <w:tc>
          <w:tcPr>
            <w:tcW w:w="1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AC27EA3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L’a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uteur ≠ Le narrateur</w:t>
            </w:r>
          </w:p>
        </w:tc>
      </w:tr>
      <w:tr w:rsidR="00E846B5" w14:paraId="17B45F1D" w14:textId="77777777">
        <w:trPr>
          <w:trHeight w:val="1585"/>
        </w:trPr>
        <w:tc>
          <w:tcPr>
            <w:tcW w:w="1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505" w:type="dxa"/>
              <w:tblLayout w:type="fixed"/>
              <w:tblLook w:val="0000" w:firstRow="0" w:lastRow="0" w:firstColumn="0" w:lastColumn="0" w:noHBand="0" w:noVBand="0"/>
            </w:tblPr>
            <w:tblGrid>
              <w:gridCol w:w="14505"/>
            </w:tblGrid>
            <w:tr w:rsidR="00E846B5" w14:paraId="41DB9722" w14:textId="77777777">
              <w:trPr>
                <w:trHeight w:val="1350"/>
              </w:trPr>
              <w:tc>
                <w:tcPr>
                  <w:tcW w:w="14505" w:type="dxa"/>
                </w:tcPr>
                <w:p w14:paraId="4C7F9C84" w14:textId="77777777" w:rsidR="00E846B5" w:rsidRDefault="00000000">
                  <w:pPr>
                    <w:pStyle w:val="Default"/>
                    <w:ind w:right="-5613"/>
                    <w:rPr>
                      <w:sz w:val="23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L’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auteur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est l’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écrivain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, celui qui a écrit le livre (Victor Hugo). Le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narrateur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est la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voix qui raconte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l’histoire. </w:t>
                  </w:r>
                </w:p>
                <w:p w14:paraId="56A44CBE" w14:textId="77777777" w:rsidR="00E846B5" w:rsidRDefault="00000000">
                  <w:pPr>
                    <w:pStyle w:val="Default"/>
                    <w:rPr>
                      <w:sz w:val="23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Le point de vue du narrateur c’est la place de son regard sur l’histoire. Il peut être : </w:t>
                  </w:r>
                </w:p>
                <w:p w14:paraId="7820F83A" w14:textId="77777777" w:rsidR="00E846B5" w:rsidRDefault="00000000">
                  <w:pPr>
                    <w:pStyle w:val="Default"/>
                    <w:rPr>
                      <w:sz w:val="23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omniscient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: le narrateur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sait tout sur les personnages et l’histoire, il rentre dans les pensées des personnages. </w:t>
                  </w:r>
                </w:p>
                <w:p w14:paraId="23DFB5CB" w14:textId="77777777" w:rsidR="00E846B5" w:rsidRDefault="00000000">
                  <w:pPr>
                    <w:pStyle w:val="Default"/>
                    <w:rPr>
                      <w:sz w:val="23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interne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: le narrateur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raconte à travers le regard d’un personnage </w:t>
                  </w:r>
                </w:p>
                <w:p w14:paraId="584DF5CD" w14:textId="77777777" w:rsidR="00E846B5" w:rsidRDefault="00000000">
                  <w:pPr>
                    <w:pStyle w:val="Default"/>
                    <w:rPr>
                      <w:sz w:val="23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externe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: le narrateur raconte juste ce qu’il voit,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il n’entre pas dans les pensées des personnages.</w:t>
                  </w:r>
                </w:p>
              </w:tc>
            </w:tr>
          </w:tbl>
          <w:p w14:paraId="2041CF24" w14:textId="77777777" w:rsidR="00E846B5" w:rsidRDefault="00E846B5">
            <w:pPr>
              <w:pStyle w:val="Default"/>
              <w:rPr>
                <w:sz w:val="23"/>
              </w:rPr>
            </w:pPr>
          </w:p>
        </w:tc>
      </w:tr>
    </w:tbl>
    <w:p w14:paraId="7DB19680" w14:textId="77777777" w:rsidR="00E846B5" w:rsidRDefault="00E846B5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3"/>
        <w:gridCol w:w="9773"/>
        <w:gridCol w:w="4788"/>
      </w:tblGrid>
      <w:tr w:rsidR="00E846B5" w14:paraId="4FA7B2EF" w14:textId="77777777">
        <w:tc>
          <w:tcPr>
            <w:tcW w:w="10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0E7AAD5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Les registres - Le registre d’un texte est lié à l’effet produit sur le destinataire ou le lecteur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2916A4B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Exemple </w:t>
            </w:r>
          </w:p>
        </w:tc>
      </w:tr>
      <w:tr w:rsidR="00E846B5" w14:paraId="434261F6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6F88660B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Comique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5EBFB16D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Faire sourire ou rire, amuser, souvent dans un but critique.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EFB" w14:textId="77777777" w:rsidR="00E846B5" w:rsidRDefault="00E846B5">
            <w:pPr>
              <w:pStyle w:val="Contenudetableau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6B5" w14:paraId="3381B470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64B50118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Tragique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0EF7D0AF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Sentiment de la fatalité, du destin. Présence de la mort, absence d’issue.</w:t>
            </w:r>
          </w:p>
          <w:p w14:paraId="540D90AE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Souffrance et déchirement moral.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4B83" w14:textId="77777777" w:rsidR="00E846B5" w:rsidRDefault="00E846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6B5" w14:paraId="562D6C66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11F3E9FB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Épique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55640BFD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Célébration des prouesses et des exploits accomplis par des héros. Le but est de</w:t>
            </w:r>
          </w:p>
          <w:p w14:paraId="7A2CBF86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susciter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l’admiration, l’étonnement et l’effroi.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76FC" w14:textId="77777777" w:rsidR="00E846B5" w:rsidRDefault="00E846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6B5" w14:paraId="00529DBA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27A47081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Ironique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6A7CCA78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Raillerie, critique au second degré qui rend le lecteur complice.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53FB" w14:textId="77777777" w:rsidR="00E846B5" w:rsidRDefault="00E846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6B5" w14:paraId="5CBD656B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7C799E5E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Satirique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60BD6606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Rire et moquerie. Caricature.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CF37" w14:textId="77777777" w:rsidR="00E846B5" w:rsidRDefault="00E846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46B5" w14:paraId="24438A23" w14:textId="77777777"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 w14:paraId="68E89E0C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Polémique</w:t>
            </w:r>
          </w:p>
        </w:tc>
        <w:tc>
          <w:tcPr>
            <w:tcW w:w="9705" w:type="dxa"/>
            <w:tcBorders>
              <w:left w:val="single" w:sz="4" w:space="0" w:color="000000"/>
              <w:bottom w:val="single" w:sz="4" w:space="0" w:color="000000"/>
            </w:tcBorders>
          </w:tcPr>
          <w:p w14:paraId="3F042CF1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Argumentation agressive qui a pour but de persuader le lecteur. Suscite l’indignation voire la révolte.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F9B0" w14:textId="77777777" w:rsidR="00E846B5" w:rsidRDefault="00E846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E173934" w14:textId="77777777" w:rsidR="00E846B5" w:rsidRDefault="00E846B5">
      <w:pPr>
        <w:rPr>
          <w:rFonts w:ascii="ComicSansMS,Bold" w:hAnsi="ComicSansMS,Bold" w:hint="eastAsia"/>
          <w:b/>
          <w:sz w:val="20"/>
        </w:rPr>
      </w:pPr>
    </w:p>
    <w:p w14:paraId="6BFA6D95" w14:textId="77777777" w:rsidR="00E846B5" w:rsidRDefault="00E846B5">
      <w:pPr>
        <w:rPr>
          <w:rFonts w:ascii="ComicSansMS,Bold" w:hAnsi="ComicSansMS,Bold" w:hint="eastAsia"/>
          <w:b/>
          <w:sz w:val="20"/>
        </w:rPr>
      </w:pPr>
    </w:p>
    <w:p w14:paraId="014AEA57" w14:textId="77777777" w:rsidR="00E846B5" w:rsidRDefault="00E846B5">
      <w:pPr>
        <w:jc w:val="center"/>
        <w:rPr>
          <w:rFonts w:ascii="Comic Sans MS" w:hAnsi="Comic Sans MS"/>
          <w:sz w:val="40"/>
          <w:szCs w:val="40"/>
        </w:rPr>
      </w:pPr>
    </w:p>
    <w:p w14:paraId="320CACCD" w14:textId="77777777" w:rsidR="00E846B5" w:rsidRDefault="00E846B5">
      <w:pPr>
        <w:jc w:val="center"/>
        <w:rPr>
          <w:rFonts w:ascii="Comic Sans MS" w:hAnsi="Comic Sans MS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8"/>
        <w:gridCol w:w="8549"/>
        <w:gridCol w:w="5257"/>
      </w:tblGrid>
      <w:tr w:rsidR="00E846B5" w14:paraId="6977338A" w14:textId="77777777">
        <w:tc>
          <w:tcPr>
            <w:tcW w:w="1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B4DF9DC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Les figures de style</w:t>
            </w:r>
          </w:p>
        </w:tc>
      </w:tr>
      <w:tr w:rsidR="00E846B5" w14:paraId="6B79CA34" w14:textId="77777777">
        <w:trPr>
          <w:trHeight w:val="690"/>
        </w:trPr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1D0129B0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 comparaison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50A8FA10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Il y a </w:t>
            </w:r>
            <w:r w:rsidRPr="00163050">
              <w:rPr>
                <w:rFonts w:ascii="Century Gothic" w:hAnsi="Century Gothic"/>
                <w:color w:val="0070C0"/>
                <w:sz w:val="20"/>
                <w:szCs w:val="20"/>
              </w:rPr>
              <w:t>un comparé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(celui que l'on compare à quelque chose), </w:t>
            </w:r>
            <w:r w:rsidRPr="00163050">
              <w:rPr>
                <w:rFonts w:ascii="Century Gothic" w:hAnsi="Century Gothic"/>
                <w:color w:val="00B050"/>
                <w:sz w:val="20"/>
                <w:szCs w:val="20"/>
              </w:rPr>
              <w:t>un comparant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('quelque chose') et </w:t>
            </w:r>
            <w:r w:rsidRPr="00163050">
              <w:rPr>
                <w:rFonts w:ascii="Century Gothic" w:hAnsi="Century Gothic"/>
                <w:color w:val="FF0000"/>
                <w:sz w:val="20"/>
                <w:szCs w:val="20"/>
              </w:rPr>
              <w:t>un outil grammatical de comparaison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(comme, tel que...)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0955" w14:textId="77777777" w:rsidR="00E846B5" w:rsidRDefault="00000000">
            <w:pPr>
              <w:pStyle w:val="Contenudetableau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63050">
              <w:rPr>
                <w:rFonts w:ascii="Century Gothic" w:hAnsi="Century Gothic"/>
                <w:i/>
                <w:iCs/>
                <w:color w:val="0070C0"/>
                <w:sz w:val="20"/>
                <w:szCs w:val="20"/>
              </w:rPr>
              <w:t>Il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est fort </w:t>
            </w:r>
            <w:r w:rsidRPr="00163050">
              <w:rPr>
                <w:rFonts w:ascii="Century Gothic" w:hAnsi="Century Gothic"/>
                <w:i/>
                <w:iCs/>
                <w:color w:val="FF0000"/>
                <w:sz w:val="20"/>
                <w:szCs w:val="20"/>
                <w:u w:val="single"/>
              </w:rPr>
              <w:t>comme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63050">
              <w:rPr>
                <w:rFonts w:ascii="Century Gothic" w:hAnsi="Century Gothic"/>
                <w:i/>
                <w:iCs/>
                <w:color w:val="00B050"/>
                <w:sz w:val="20"/>
                <w:szCs w:val="20"/>
              </w:rPr>
              <w:t>un lion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  <w:p w14:paraId="4D08F3B2" w14:textId="5333B692" w:rsidR="00E846B5" w:rsidRDefault="00163050">
            <w:pPr>
              <w:pStyle w:val="Contenudetableau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63050">
              <w:rPr>
                <w:rFonts w:ascii="Century Gothic" w:hAnsi="Century Gothic"/>
                <w:i/>
                <w:iCs/>
                <w:color w:val="0070C0"/>
                <w:sz w:val="20"/>
                <w:szCs w:val="20"/>
              </w:rPr>
              <w:t>Pierre</w:t>
            </w:r>
            <w:r w:rsidR="0000000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est </w:t>
            </w:r>
            <w:r w:rsidR="00000000" w:rsidRPr="00163050">
              <w:rPr>
                <w:rFonts w:ascii="Century Gothic" w:hAnsi="Century Gothic"/>
                <w:i/>
                <w:iCs/>
                <w:color w:val="FF0000"/>
                <w:sz w:val="20"/>
                <w:szCs w:val="20"/>
                <w:u w:val="single"/>
              </w:rPr>
              <w:t>aussi</w:t>
            </w:r>
            <w:r w:rsidR="0000000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grand </w:t>
            </w:r>
            <w:r w:rsidR="00000000" w:rsidRPr="00163050">
              <w:rPr>
                <w:rFonts w:ascii="Century Gothic" w:hAnsi="Century Gothic"/>
                <w:i/>
                <w:iCs/>
                <w:color w:val="FF0000"/>
                <w:sz w:val="20"/>
                <w:szCs w:val="20"/>
                <w:u w:val="single"/>
              </w:rPr>
              <w:t>que</w:t>
            </w:r>
            <w:r w:rsidR="0000000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000000" w:rsidRPr="00163050">
              <w:rPr>
                <w:rFonts w:ascii="Century Gothic" w:hAnsi="Century Gothic"/>
                <w:i/>
                <w:iCs/>
                <w:color w:val="00B050"/>
                <w:sz w:val="20"/>
                <w:szCs w:val="20"/>
              </w:rPr>
              <w:t>son frère</w:t>
            </w:r>
            <w:r w:rsidR="00000000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  <w:tr w:rsidR="00E846B5" w14:paraId="456EF7C7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3A4F253A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 métaphore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0953F0F9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C'est une comparaison plus directe car il n'y a aucun outil grammatical.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3E32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63050">
              <w:rPr>
                <w:rFonts w:ascii="Century Gothic" w:hAnsi="Century Gothic"/>
                <w:i/>
                <w:iCs/>
                <w:color w:val="0070C0"/>
                <w:sz w:val="20"/>
                <w:szCs w:val="20"/>
              </w:rPr>
              <w:t>Cette fille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est </w:t>
            </w:r>
            <w:r w:rsidRPr="00163050">
              <w:rPr>
                <w:rFonts w:ascii="Century Gothic" w:hAnsi="Century Gothic"/>
                <w:i/>
                <w:iCs/>
                <w:color w:val="FF0000"/>
                <w:sz w:val="20"/>
                <w:szCs w:val="20"/>
              </w:rPr>
              <w:t>un vrai rayon de soleil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  <w:tr w:rsidR="00E846B5" w14:paraId="05C0F71E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4D24719F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La métonymie 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0A27C2EC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C’est parler d’une chose en désignant </w:t>
            </w:r>
            <w:r w:rsidRPr="00163050">
              <w:rPr>
                <w:rFonts w:ascii="Century Gothic" w:hAnsi="Century Gothic"/>
                <w:sz w:val="20"/>
                <w:szCs w:val="20"/>
                <w:u w:val="single"/>
              </w:rPr>
              <w:t>une de ses parties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8943" w14:textId="47BD4ABB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vois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les voiles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au loin.</w:t>
            </w:r>
            <w:r w:rsidR="0016305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163050">
              <w:rPr>
                <w:rFonts w:ascii="Century Gothic" w:hAnsi="Century Gothic"/>
                <w:i/>
                <w:iCs/>
                <w:sz w:val="20"/>
                <w:szCs w:val="20"/>
              </w:rPr>
              <w:t>(</w:t>
            </w:r>
            <w:proofErr w:type="gramEnd"/>
            <w:r w:rsidR="00163050">
              <w:rPr>
                <w:rFonts w:ascii="Century Gothic" w:hAnsi="Century Gothic"/>
                <w:i/>
                <w:iCs/>
                <w:sz w:val="20"/>
                <w:szCs w:val="20"/>
              </w:rPr>
              <w:t>= bateau)</w:t>
            </w:r>
          </w:p>
          <w:p w14:paraId="2F37ABA7" w14:textId="6094CE5A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bois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un verre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  <w:r w:rsidR="0016305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(= ce qu’il y a dans le verre)</w:t>
            </w:r>
          </w:p>
        </w:tc>
      </w:tr>
      <w:tr w:rsidR="00E846B5" w14:paraId="7493FC80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56D4FE62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 personnification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442FD031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C’est donner </w:t>
            </w:r>
            <w:r w:rsidRPr="00163050">
              <w:rPr>
                <w:rFonts w:ascii="Century Gothic" w:hAnsi="Century Gothic"/>
                <w:color w:val="8E03A3" w:themeColor="accent4"/>
                <w:sz w:val="20"/>
                <w:szCs w:val="20"/>
              </w:rPr>
              <w:t>des caractéristiques humaines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à un objet, un animal...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B26D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Il fait froid ce matin, la voiture </w:t>
            </w:r>
            <w:r w:rsidRPr="00163050">
              <w:rPr>
                <w:rFonts w:ascii="Century Gothic" w:hAnsi="Century Gothic"/>
                <w:i/>
                <w:iCs/>
                <w:color w:val="8E03A3" w:themeColor="accent4"/>
                <w:sz w:val="20"/>
                <w:szCs w:val="20"/>
                <w:u w:val="single"/>
              </w:rPr>
              <w:t>tousse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 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!</w:t>
            </w:r>
          </w:p>
        </w:tc>
      </w:tr>
      <w:tr w:rsidR="00E846B5" w14:paraId="3F2435CA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6C4AB2E8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L’allégorie 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08BE6A97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C’est donner des caractéristiques humaines à une idée.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E386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La mort vient te chercher.</w:t>
            </w:r>
          </w:p>
        </w:tc>
      </w:tr>
      <w:tr w:rsidR="00E846B5" w14:paraId="3ECBCD3B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6B30635E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L’hyperbole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3A60F6F3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Elle exagère l'expression d'une idée pour la mettre en relief. Utilisée dans l'ironie, la caricature, ...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E09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J’ai attendu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une éternité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pour ma réponse.</w:t>
            </w:r>
          </w:p>
        </w:tc>
      </w:tr>
      <w:tr w:rsidR="00E846B5" w14:paraId="20AC07DB" w14:textId="77777777"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14:paraId="2B8D21BB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 litote 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</w:tcPr>
          <w:p w14:paraId="6053DFD8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suggère quelque chose mais on ne le dit pas clairement.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44D" w14:textId="58CA1F2E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Je ne suis pas mécontent de ton travail.</w:t>
            </w:r>
            <w:r w:rsidR="00163050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(= Je suis assez content de ton travail)</w:t>
            </w:r>
          </w:p>
        </w:tc>
      </w:tr>
    </w:tbl>
    <w:p w14:paraId="02B613C9" w14:textId="77777777" w:rsidR="00E846B5" w:rsidRDefault="00E846B5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35"/>
        <w:gridCol w:w="7522"/>
        <w:gridCol w:w="5257"/>
      </w:tblGrid>
      <w:tr w:rsidR="00E846B5" w14:paraId="0E15777B" w14:textId="77777777">
        <w:tc>
          <w:tcPr>
            <w:tcW w:w="1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E21B47A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Les valeurs du présent</w:t>
            </w:r>
          </w:p>
        </w:tc>
      </w:tr>
      <w:tr w:rsidR="00E846B5" w14:paraId="5BE09F18" w14:textId="77777777">
        <w:trPr>
          <w:trHeight w:val="456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689554EA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 présent d’énonciation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43E78DCB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pour exprimer une action au moment où elle a lieu.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718" w14:textId="77777777" w:rsidR="00E846B5" w:rsidRDefault="00000000">
            <w:pPr>
              <w:pStyle w:val="Contenudetableau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fais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mes devoirs.</w:t>
            </w:r>
          </w:p>
        </w:tc>
      </w:tr>
      <w:tr w:rsidR="00E846B5" w14:paraId="6AB42B4D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53445195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 présent d’habitude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7EFA9040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pour exprimer une action qui se répète.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042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Tous les jours, je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me lève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à 7h00.</w:t>
            </w:r>
          </w:p>
        </w:tc>
      </w:tr>
      <w:tr w:rsidR="00E846B5" w14:paraId="1C637C07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1CEE1565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 présent de vérité générale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74B79729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pour parler de quelque chose qui est toujours vrai.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E712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L’eau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bout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à 100°C.</w:t>
            </w:r>
          </w:p>
        </w:tc>
      </w:tr>
      <w:tr w:rsidR="00E846B5" w14:paraId="2224F4C5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2F99CDE5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 présent de narration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3A7C8A41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dans un texte au passé pour rendre l’action plus vivante.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C511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dormais quand quelqu’un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frappe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à la porte.</w:t>
            </w:r>
          </w:p>
        </w:tc>
      </w:tr>
      <w:tr w:rsidR="00E846B5" w14:paraId="26143335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7ECEEA00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Futur proche</w:t>
            </w:r>
          </w:p>
          <w:p w14:paraId="62F40A4B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Passé proche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473BC8AC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pour parler d’un futur ou d’un passé très proche.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7C3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vais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à la cantine à midi.</w:t>
            </w:r>
          </w:p>
          <w:p w14:paraId="79FE2667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viens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d’arriver au collège.</w:t>
            </w:r>
          </w:p>
        </w:tc>
      </w:tr>
    </w:tbl>
    <w:p w14:paraId="6FFD4068" w14:textId="77777777" w:rsidR="00E846B5" w:rsidRDefault="00E846B5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35"/>
        <w:gridCol w:w="7522"/>
        <w:gridCol w:w="5257"/>
      </w:tblGrid>
      <w:tr w:rsidR="00E846B5" w14:paraId="58541B85" w14:textId="77777777">
        <w:tc>
          <w:tcPr>
            <w:tcW w:w="1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19CD2E9" w14:textId="77777777" w:rsidR="00E846B5" w:rsidRDefault="00000000">
            <w:pPr>
              <w:pStyle w:val="Contenudetableau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Les valeurs de l’imparfait</w:t>
            </w:r>
          </w:p>
        </w:tc>
      </w:tr>
      <w:tr w:rsidR="00E846B5" w14:paraId="3D9A6823" w14:textId="77777777">
        <w:trPr>
          <w:trHeight w:val="336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2DB0A638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L’imparfait de description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6CE57135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dans les descriptions.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74E" w14:textId="77777777" w:rsidR="00E846B5" w:rsidRDefault="00000000">
            <w:pPr>
              <w:pStyle w:val="Contenudetableau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Elle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était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63050">
              <w:rPr>
                <w:rFonts w:ascii="Century Gothic" w:hAnsi="Century Gothic"/>
                <w:i/>
                <w:iCs/>
                <w:color w:val="FFC000"/>
                <w:sz w:val="20"/>
                <w:szCs w:val="20"/>
              </w:rPr>
              <w:t>jolie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, elle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avait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63050">
              <w:rPr>
                <w:rFonts w:ascii="Century Gothic" w:hAnsi="Century Gothic"/>
                <w:i/>
                <w:iCs/>
                <w:color w:val="FFC000"/>
                <w:sz w:val="20"/>
                <w:szCs w:val="20"/>
              </w:rPr>
              <w:t>les yeux bleus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  <w:tr w:rsidR="00E846B5" w14:paraId="0360B13C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6799E785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L’imparfait d’habitude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1653CD3C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pour parler d’une action qui se répète.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2A33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Elle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se couchait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163050">
              <w:rPr>
                <w:rFonts w:ascii="Century Gothic" w:hAnsi="Century Gothic"/>
                <w:i/>
                <w:iCs/>
                <w:color w:val="FFC000"/>
                <w:sz w:val="20"/>
                <w:szCs w:val="20"/>
              </w:rPr>
              <w:t>tous les jours à 21h00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  <w:tr w:rsidR="00E846B5" w14:paraId="1F8D3CE8" w14:textId="77777777"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14:paraId="2F7C01F2" w14:textId="77777777" w:rsidR="00E846B5" w:rsidRDefault="00000000">
            <w:pPr>
              <w:rPr>
                <w:rFonts w:ascii="ComicSansMS" w:hAnsi="ComicSansMS" w:hint="eastAsia"/>
                <w:sz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L’imparfait de second plan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14:paraId="43636EC4" w14:textId="77777777" w:rsidR="00E846B5" w:rsidRDefault="00000000">
            <w:pPr>
              <w:pStyle w:val="Corpsdetexte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est utilisé avec le passé simple pour parler d’actions longues de second plan.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247A" w14:textId="77777777" w:rsidR="00E846B5" w:rsidRDefault="00000000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Elle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traversait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les grandes plaines quand elle vit approcher l’armée.</w:t>
            </w:r>
          </w:p>
        </w:tc>
      </w:tr>
    </w:tbl>
    <w:p w14:paraId="086648EE" w14:textId="77777777" w:rsidR="00E846B5" w:rsidRDefault="00E846B5">
      <w:pPr>
        <w:rPr>
          <w:rFonts w:hint="eastAsia"/>
          <w:sz w:val="4"/>
          <w:szCs w:val="4"/>
        </w:rPr>
      </w:pPr>
    </w:p>
    <w:sectPr w:rsidR="00E846B5">
      <w:pgSz w:w="16838" w:h="11906" w:orient="landscape"/>
      <w:pgMar w:top="567" w:right="567" w:bottom="567" w:left="567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altName w:val="Cambria"/>
    <w:panose1 w:val="030F0702030302020204"/>
    <w:charset w:val="01"/>
    <w:family w:val="roman"/>
    <w:pitch w:val="variable"/>
  </w:font>
  <w:font w:name="ComicSansMS,Bol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6B5"/>
    <w:rsid w:val="00163050"/>
    <w:rsid w:val="00DF1CB7"/>
    <w:rsid w:val="00E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EBA9D"/>
  <w15:docId w15:val="{69CD413E-1CE7-5147-A350-4E66DBF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SPECIFIQUE DU COURS DE FRANÇAIS</dc:title>
  <dc:subject/>
  <dc:creator>Kinda Mubaideen</dc:creator>
  <dc:description/>
  <cp:lastModifiedBy>O365</cp:lastModifiedBy>
  <cp:revision>7</cp:revision>
  <dcterms:created xsi:type="dcterms:W3CDTF">2013-03-06T10:09:00Z</dcterms:created>
  <dcterms:modified xsi:type="dcterms:W3CDTF">2025-03-13T14:16:00Z</dcterms:modified>
  <dc:language>fr-FR</dc:language>
</cp:coreProperties>
</file>