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645" w:rsidRPr="003E5C9B" w:rsidRDefault="00A665DF" w:rsidP="00A665DF">
      <w:pPr>
        <w:jc w:val="center"/>
        <w:rPr>
          <w:rFonts w:asciiTheme="majorHAnsi" w:hAnsiTheme="majorHAnsi" w:cstheme="majorHAnsi"/>
          <w:sz w:val="28"/>
          <w:szCs w:val="28"/>
        </w:rPr>
      </w:pPr>
      <w:r w:rsidRPr="003E5C9B">
        <w:rPr>
          <w:rFonts w:asciiTheme="majorHAnsi" w:hAnsiTheme="majorHAnsi" w:cstheme="majorHAnsi"/>
          <w:sz w:val="28"/>
          <w:szCs w:val="28"/>
        </w:rPr>
        <w:t>Les motifs organisés à l’école maternelle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665DF" w:rsidTr="000D782A">
        <w:tc>
          <w:tcPr>
            <w:tcW w:w="2689" w:type="dxa"/>
            <w:shd w:val="clear" w:color="auto" w:fill="FFF2CC" w:themeFill="accent4" w:themeFillTint="33"/>
          </w:tcPr>
          <w:p w:rsidR="00A665DF" w:rsidRPr="003E5C9B" w:rsidRDefault="00A665DF">
            <w:pPr>
              <w:rPr>
                <w:rFonts w:asciiTheme="majorHAnsi" w:hAnsiTheme="majorHAnsi" w:cstheme="majorHAnsi"/>
              </w:rPr>
            </w:pPr>
            <w:r w:rsidRPr="003E5C9B">
              <w:rPr>
                <w:rFonts w:asciiTheme="majorHAnsi" w:hAnsiTheme="majorHAnsi" w:cstheme="majorHAnsi"/>
              </w:rPr>
              <w:t>Nom de l’école Commune</w:t>
            </w:r>
          </w:p>
        </w:tc>
        <w:tc>
          <w:tcPr>
            <w:tcW w:w="11305" w:type="dxa"/>
            <w:shd w:val="clear" w:color="auto" w:fill="F2F2F2" w:themeFill="background1" w:themeFillShade="F2"/>
          </w:tcPr>
          <w:p w:rsidR="00A665DF" w:rsidRDefault="00A665DF"/>
        </w:tc>
      </w:tr>
      <w:tr w:rsidR="00A665DF" w:rsidTr="000D782A">
        <w:tc>
          <w:tcPr>
            <w:tcW w:w="2689" w:type="dxa"/>
            <w:shd w:val="clear" w:color="auto" w:fill="FFF2CC" w:themeFill="accent4" w:themeFillTint="33"/>
          </w:tcPr>
          <w:p w:rsidR="00A665DF" w:rsidRPr="003E5C9B" w:rsidRDefault="00A665DF">
            <w:pPr>
              <w:rPr>
                <w:rFonts w:asciiTheme="majorHAnsi" w:hAnsiTheme="majorHAnsi" w:cstheme="majorHAnsi"/>
              </w:rPr>
            </w:pPr>
            <w:r w:rsidRPr="003E5C9B">
              <w:rPr>
                <w:rFonts w:asciiTheme="majorHAnsi" w:hAnsiTheme="majorHAnsi" w:cstheme="majorHAnsi"/>
              </w:rPr>
              <w:t>Nom de l’enseignant</w:t>
            </w:r>
          </w:p>
        </w:tc>
        <w:tc>
          <w:tcPr>
            <w:tcW w:w="11305" w:type="dxa"/>
            <w:shd w:val="clear" w:color="auto" w:fill="F2F2F2" w:themeFill="background1" w:themeFillShade="F2"/>
          </w:tcPr>
          <w:p w:rsidR="00A665DF" w:rsidRDefault="00A665DF"/>
        </w:tc>
      </w:tr>
      <w:tr w:rsidR="00A665DF" w:rsidTr="000D782A">
        <w:tc>
          <w:tcPr>
            <w:tcW w:w="2689" w:type="dxa"/>
            <w:shd w:val="clear" w:color="auto" w:fill="FFF2CC" w:themeFill="accent4" w:themeFillTint="33"/>
          </w:tcPr>
          <w:p w:rsidR="00A665DF" w:rsidRPr="003E5C9B" w:rsidRDefault="00A665DF">
            <w:pPr>
              <w:rPr>
                <w:rFonts w:asciiTheme="majorHAnsi" w:hAnsiTheme="majorHAnsi" w:cstheme="majorHAnsi"/>
              </w:rPr>
            </w:pPr>
            <w:r w:rsidRPr="003E5C9B">
              <w:rPr>
                <w:rFonts w:asciiTheme="majorHAnsi" w:hAnsiTheme="majorHAnsi" w:cstheme="majorHAnsi"/>
              </w:rPr>
              <w:t>Niveau de classe</w:t>
            </w:r>
          </w:p>
        </w:tc>
        <w:tc>
          <w:tcPr>
            <w:tcW w:w="11305" w:type="dxa"/>
            <w:shd w:val="clear" w:color="auto" w:fill="F2F2F2" w:themeFill="background1" w:themeFillShade="F2"/>
          </w:tcPr>
          <w:p w:rsidR="00A665DF" w:rsidRDefault="00A665DF"/>
        </w:tc>
      </w:tr>
    </w:tbl>
    <w:p w:rsidR="00A665DF" w:rsidRDefault="00A665DF" w:rsidP="008A7C98">
      <w:pPr>
        <w:jc w:val="center"/>
      </w:pPr>
    </w:p>
    <w:p w:rsidR="00A665DF" w:rsidRPr="003E5C9B" w:rsidRDefault="00A665DF" w:rsidP="008A7C98">
      <w:pPr>
        <w:jc w:val="center"/>
        <w:rPr>
          <w:rFonts w:asciiTheme="majorHAnsi" w:hAnsiTheme="majorHAnsi" w:cstheme="majorHAnsi"/>
        </w:rPr>
      </w:pPr>
      <w:r w:rsidRPr="003E5C9B">
        <w:rPr>
          <w:rFonts w:asciiTheme="majorHAnsi" w:hAnsiTheme="majorHAnsi" w:cstheme="majorHAnsi"/>
        </w:rPr>
        <w:t xml:space="preserve">Repères de progressivité </w:t>
      </w:r>
      <w:r w:rsidR="008A7C98" w:rsidRPr="003E5C9B">
        <w:rPr>
          <w:rFonts w:asciiTheme="majorHAnsi" w:hAnsiTheme="majorHAnsi" w:cstheme="majorHAnsi"/>
        </w:rPr>
        <w:t>Programmes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7"/>
        <w:gridCol w:w="1642"/>
        <w:gridCol w:w="1661"/>
        <w:gridCol w:w="3366"/>
        <w:gridCol w:w="1085"/>
        <w:gridCol w:w="973"/>
        <w:gridCol w:w="1870"/>
        <w:gridCol w:w="1710"/>
      </w:tblGrid>
      <w:tr w:rsidR="00E7113E" w:rsidTr="00F323E5">
        <w:tc>
          <w:tcPr>
            <w:tcW w:w="1687" w:type="dxa"/>
            <w:shd w:val="clear" w:color="auto" w:fill="FFF2CC" w:themeFill="accent4" w:themeFillTint="33"/>
          </w:tcPr>
          <w:p w:rsidR="005C38BA" w:rsidRDefault="005C38BA" w:rsidP="00E7113E">
            <w:pPr>
              <w:jc w:val="center"/>
              <w:rPr>
                <w:rFonts w:asciiTheme="majorHAnsi" w:hAnsiTheme="majorHAnsi" w:cstheme="majorHAnsi"/>
              </w:rPr>
            </w:pPr>
          </w:p>
          <w:p w:rsidR="00E7113E" w:rsidRPr="003E5C9B" w:rsidRDefault="00E7113E" w:rsidP="00E7113E">
            <w:pPr>
              <w:jc w:val="center"/>
              <w:rPr>
                <w:rFonts w:asciiTheme="majorHAnsi" w:hAnsiTheme="majorHAnsi" w:cstheme="majorHAnsi"/>
              </w:rPr>
            </w:pPr>
            <w:r w:rsidRPr="003E5C9B">
              <w:rPr>
                <w:rFonts w:asciiTheme="majorHAnsi" w:hAnsiTheme="majorHAnsi" w:cstheme="majorHAnsi"/>
              </w:rPr>
              <w:t>Petite section</w:t>
            </w:r>
          </w:p>
        </w:tc>
        <w:tc>
          <w:tcPr>
            <w:tcW w:w="1642" w:type="dxa"/>
            <w:shd w:val="clear" w:color="auto" w:fill="FFF2CC" w:themeFill="accent4" w:themeFillTint="33"/>
          </w:tcPr>
          <w:p w:rsidR="00E7113E" w:rsidRPr="00A665DF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665D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Recopier à l’identique un motif répétitif composé de quelques éléments.</w:t>
            </w:r>
          </w:p>
        </w:tc>
        <w:tc>
          <w:tcPr>
            <w:tcW w:w="1661" w:type="dxa"/>
            <w:shd w:val="clear" w:color="auto" w:fill="FFF2CC" w:themeFill="accent4" w:themeFillTint="33"/>
          </w:tcPr>
          <w:p w:rsidR="00E7113E" w:rsidRPr="00A665DF" w:rsidRDefault="00E7113E" w:rsidP="00E711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65DF">
              <w:rPr>
                <w:rFonts w:asciiTheme="majorHAnsi" w:hAnsiTheme="majorHAnsi" w:cstheme="majorHAnsi"/>
                <w:sz w:val="16"/>
                <w:szCs w:val="16"/>
              </w:rPr>
              <w:t>Reproduire de mémoire un motif répétitif présentant une alternance</w:t>
            </w:r>
          </w:p>
        </w:tc>
        <w:tc>
          <w:tcPr>
            <w:tcW w:w="3366" w:type="dxa"/>
            <w:shd w:val="clear" w:color="auto" w:fill="FFF2CC" w:themeFill="accent4" w:themeFillTint="33"/>
          </w:tcPr>
          <w:p w:rsidR="00E7113E" w:rsidRPr="00A665DF" w:rsidRDefault="00E7113E" w:rsidP="00E7113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65DF">
              <w:rPr>
                <w:rFonts w:asciiTheme="majorHAnsi" w:hAnsiTheme="majorHAnsi" w:cstheme="majorHAnsi"/>
                <w:sz w:val="16"/>
                <w:szCs w:val="16"/>
              </w:rPr>
              <w:t>Compléter un motif</w:t>
            </w:r>
          </w:p>
        </w:tc>
        <w:tc>
          <w:tcPr>
            <w:tcW w:w="5638" w:type="dxa"/>
            <w:gridSpan w:val="4"/>
            <w:shd w:val="clear" w:color="auto" w:fill="FFF2CC" w:themeFill="accent4" w:themeFillTint="33"/>
          </w:tcPr>
          <w:p w:rsidR="00E7113E" w:rsidRDefault="00E7113E" w:rsidP="00E7113E">
            <w:pPr>
              <w:jc w:val="center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R</w:t>
            </w:r>
            <w:r w:rsidRPr="00A665DF">
              <w:rPr>
                <w:rFonts w:asciiTheme="majorHAnsi" w:hAnsiTheme="majorHAnsi" w:cstheme="majorHAnsi"/>
                <w:sz w:val="16"/>
                <w:szCs w:val="16"/>
              </w:rPr>
              <w:t>eproduire une partie du motif qui est cachée, d’anticiper les éléments cachés puis de vérifier en retirant le cache.</w:t>
            </w:r>
          </w:p>
        </w:tc>
      </w:tr>
      <w:tr w:rsidR="00E7113E" w:rsidTr="00081EC3">
        <w:tc>
          <w:tcPr>
            <w:tcW w:w="1687" w:type="dxa"/>
            <w:shd w:val="clear" w:color="auto" w:fill="F7CAAC" w:themeFill="accent2" w:themeFillTint="66"/>
          </w:tcPr>
          <w:p w:rsidR="005C38BA" w:rsidRDefault="005C38BA" w:rsidP="00E7113E">
            <w:pPr>
              <w:jc w:val="center"/>
              <w:rPr>
                <w:rFonts w:asciiTheme="majorHAnsi" w:hAnsiTheme="majorHAnsi" w:cstheme="majorHAnsi"/>
              </w:rPr>
            </w:pPr>
          </w:p>
          <w:p w:rsidR="00E7113E" w:rsidRPr="003E5C9B" w:rsidRDefault="00E7113E" w:rsidP="00E7113E">
            <w:pPr>
              <w:jc w:val="center"/>
              <w:rPr>
                <w:rFonts w:asciiTheme="majorHAnsi" w:hAnsiTheme="majorHAnsi" w:cstheme="majorHAnsi"/>
              </w:rPr>
            </w:pPr>
            <w:r w:rsidRPr="003E5C9B">
              <w:rPr>
                <w:rFonts w:asciiTheme="majorHAnsi" w:hAnsiTheme="majorHAnsi" w:cstheme="majorHAnsi"/>
              </w:rPr>
              <w:t>Moyenne section</w:t>
            </w:r>
          </w:p>
        </w:tc>
        <w:tc>
          <w:tcPr>
            <w:tcW w:w="1642" w:type="dxa"/>
            <w:shd w:val="clear" w:color="auto" w:fill="F7CAAC" w:themeFill="accent2" w:themeFillTint="66"/>
          </w:tcPr>
          <w:p w:rsidR="00E7113E" w:rsidRPr="00A665DF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665D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Mémoriser un motif répétitif simple</w:t>
            </w:r>
          </w:p>
        </w:tc>
        <w:tc>
          <w:tcPr>
            <w:tcW w:w="1661" w:type="dxa"/>
            <w:shd w:val="clear" w:color="auto" w:fill="F7CAAC" w:themeFill="accent2" w:themeFillTint="66"/>
          </w:tcPr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665D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Reconnaitre un motif répétitif à ses régularités</w:t>
            </w:r>
          </w:p>
          <w:p w:rsidR="00E7113E" w:rsidRPr="00A665DF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:rsidR="00E7113E" w:rsidRPr="00A665DF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665DF">
              <w:rPr>
                <w:rFonts w:asciiTheme="majorHAnsi" w:hAnsiTheme="majorHAnsi" w:cstheme="majorHAnsi"/>
                <w:sz w:val="16"/>
                <w:szCs w:val="16"/>
              </w:rPr>
              <w:t>Reproduire de mémoire un motif répétitif simple</w:t>
            </w:r>
          </w:p>
        </w:tc>
        <w:tc>
          <w:tcPr>
            <w:tcW w:w="3366" w:type="dxa"/>
            <w:shd w:val="clear" w:color="auto" w:fill="F7CAAC" w:themeFill="accent2" w:themeFillTint="66"/>
          </w:tcPr>
          <w:p w:rsidR="00E7113E" w:rsidRPr="00A665DF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665D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Décrire oralement des motifs répétitifs simples de différentes natures, sans nécessairement recourir au vocabulaire spécialisé.</w:t>
            </w:r>
          </w:p>
        </w:tc>
        <w:tc>
          <w:tcPr>
            <w:tcW w:w="2058" w:type="dxa"/>
            <w:gridSpan w:val="2"/>
            <w:shd w:val="clear" w:color="auto" w:fill="F7CAAC" w:themeFill="accent2" w:themeFillTint="66"/>
          </w:tcPr>
          <w:p w:rsidR="00E7113E" w:rsidRPr="00A665DF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665D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Prolonger l’amorce d’un motif répétitif et verbaliser la règle de prolongement utilisée.</w:t>
            </w:r>
          </w:p>
        </w:tc>
        <w:tc>
          <w:tcPr>
            <w:tcW w:w="3580" w:type="dxa"/>
            <w:gridSpan w:val="2"/>
            <w:shd w:val="clear" w:color="auto" w:fill="F7CAAC" w:themeFill="accent2" w:themeFillTint="66"/>
          </w:tcPr>
          <w:p w:rsidR="00E7113E" w:rsidRDefault="00E7113E" w:rsidP="00E7113E">
            <w:pPr>
              <w:jc w:val="center"/>
            </w:pPr>
            <w:r w:rsidRPr="00A665D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Trouver un intrus parmi des éléments ne respectant pas totalement une organisation logique, par exemple correspondant à la traduction formelle ABABAABABABABABA</w:t>
            </w:r>
          </w:p>
        </w:tc>
      </w:tr>
      <w:tr w:rsidR="00E7113E" w:rsidTr="00E7113E">
        <w:tc>
          <w:tcPr>
            <w:tcW w:w="1687" w:type="dxa"/>
            <w:vMerge w:val="restart"/>
            <w:shd w:val="clear" w:color="auto" w:fill="F4B083" w:themeFill="accent2" w:themeFillTint="99"/>
          </w:tcPr>
          <w:p w:rsidR="005C38BA" w:rsidRDefault="005C38BA" w:rsidP="00E7113E">
            <w:pPr>
              <w:jc w:val="center"/>
              <w:rPr>
                <w:rFonts w:asciiTheme="majorHAnsi" w:hAnsiTheme="majorHAnsi" w:cstheme="majorHAnsi"/>
              </w:rPr>
            </w:pPr>
          </w:p>
          <w:p w:rsidR="005C38BA" w:rsidRDefault="005C38BA" w:rsidP="00E7113E">
            <w:pPr>
              <w:jc w:val="center"/>
              <w:rPr>
                <w:rFonts w:asciiTheme="majorHAnsi" w:hAnsiTheme="majorHAnsi" w:cstheme="majorHAnsi"/>
              </w:rPr>
            </w:pPr>
          </w:p>
          <w:p w:rsidR="005C38BA" w:rsidRDefault="005C38BA" w:rsidP="00E7113E">
            <w:pPr>
              <w:jc w:val="center"/>
              <w:rPr>
                <w:rFonts w:asciiTheme="majorHAnsi" w:hAnsiTheme="majorHAnsi" w:cstheme="majorHAnsi"/>
              </w:rPr>
            </w:pPr>
          </w:p>
          <w:p w:rsidR="005C38BA" w:rsidRDefault="005C38BA" w:rsidP="00E7113E">
            <w:pPr>
              <w:jc w:val="center"/>
              <w:rPr>
                <w:rFonts w:asciiTheme="majorHAnsi" w:hAnsiTheme="majorHAnsi" w:cstheme="majorHAnsi"/>
              </w:rPr>
            </w:pPr>
          </w:p>
          <w:p w:rsidR="005C38BA" w:rsidRDefault="005C38BA" w:rsidP="00E7113E">
            <w:pPr>
              <w:jc w:val="center"/>
              <w:rPr>
                <w:rFonts w:asciiTheme="majorHAnsi" w:hAnsiTheme="majorHAnsi" w:cstheme="majorHAnsi"/>
              </w:rPr>
            </w:pPr>
          </w:p>
          <w:p w:rsidR="005C38BA" w:rsidRDefault="005C38BA" w:rsidP="00E7113E">
            <w:pPr>
              <w:jc w:val="center"/>
              <w:rPr>
                <w:rFonts w:asciiTheme="majorHAnsi" w:hAnsiTheme="majorHAnsi" w:cstheme="majorHAnsi"/>
              </w:rPr>
            </w:pPr>
          </w:p>
          <w:p w:rsidR="00E7113E" w:rsidRPr="003E5C9B" w:rsidRDefault="00E7113E" w:rsidP="00E7113E">
            <w:pPr>
              <w:jc w:val="center"/>
              <w:rPr>
                <w:rFonts w:asciiTheme="majorHAnsi" w:hAnsiTheme="majorHAnsi" w:cstheme="majorHAnsi"/>
              </w:rPr>
            </w:pPr>
            <w:r w:rsidRPr="003E5C9B">
              <w:rPr>
                <w:rFonts w:asciiTheme="majorHAnsi" w:hAnsiTheme="majorHAnsi" w:cstheme="majorHAnsi"/>
              </w:rPr>
              <w:t>Grande section</w:t>
            </w:r>
          </w:p>
        </w:tc>
        <w:tc>
          <w:tcPr>
            <w:tcW w:w="3303" w:type="dxa"/>
            <w:gridSpan w:val="2"/>
            <w:shd w:val="clear" w:color="auto" w:fill="F4B083" w:themeFill="accent2" w:themeFillTint="99"/>
          </w:tcPr>
          <w:p w:rsidR="00E7113E" w:rsidRP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113E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Repérer et décrire oralement la structure d’un motif évolutif</w:t>
            </w:r>
          </w:p>
          <w:p w:rsidR="00E7113E" w:rsidRP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E7113E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(par exemple relevant de la transcription formelle ABAABBAAABBB).</w:t>
            </w:r>
          </w:p>
        </w:tc>
        <w:tc>
          <w:tcPr>
            <w:tcW w:w="5424" w:type="dxa"/>
            <w:gridSpan w:val="3"/>
            <w:shd w:val="clear" w:color="auto" w:fill="F4B083" w:themeFill="accent2" w:themeFillTint="99"/>
          </w:tcPr>
          <w:p w:rsidR="00E7113E" w:rsidRPr="00E7113E" w:rsidRDefault="00E7113E" w:rsidP="00E7113E">
            <w:pPr>
              <w:jc w:val="center"/>
              <w:rPr>
                <w:sz w:val="16"/>
                <w:szCs w:val="16"/>
              </w:rPr>
            </w:pPr>
            <w:r w:rsidRPr="00E7113E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Identifier la structure d’un motif répétitif ou évolutif indépendamment des éléments physiques qui le composent</w:t>
            </w:r>
          </w:p>
        </w:tc>
        <w:tc>
          <w:tcPr>
            <w:tcW w:w="3580" w:type="dxa"/>
            <w:gridSpan w:val="2"/>
            <w:shd w:val="clear" w:color="auto" w:fill="F4B083" w:themeFill="accent2" w:themeFillTint="99"/>
          </w:tcPr>
          <w:p w:rsidR="00E7113E" w:rsidRPr="00E7113E" w:rsidRDefault="00E7113E" w:rsidP="00E7113E">
            <w:pPr>
              <w:jc w:val="center"/>
              <w:rPr>
                <w:sz w:val="16"/>
                <w:szCs w:val="16"/>
              </w:rPr>
            </w:pPr>
            <w:r w:rsidRPr="00E7113E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Créer des motifs de différentes natures.</w:t>
            </w:r>
          </w:p>
        </w:tc>
      </w:tr>
      <w:tr w:rsidR="00E7113E" w:rsidRPr="00E7113E" w:rsidTr="00E7113E">
        <w:tc>
          <w:tcPr>
            <w:tcW w:w="1687" w:type="dxa"/>
            <w:vMerge/>
            <w:shd w:val="clear" w:color="auto" w:fill="F4B083" w:themeFill="accent2" w:themeFillTint="99"/>
          </w:tcPr>
          <w:p w:rsidR="00E7113E" w:rsidRDefault="00E7113E" w:rsidP="00E7113E"/>
        </w:tc>
        <w:tc>
          <w:tcPr>
            <w:tcW w:w="3303" w:type="dxa"/>
            <w:gridSpan w:val="2"/>
            <w:shd w:val="clear" w:color="auto" w:fill="F4B083" w:themeFill="accent2" w:themeFillTint="99"/>
          </w:tcPr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1601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Verbaliser les éléments d’un motif évolutif simple en utilisant un lexique plus élaboré (notamment géométrique).</w:t>
            </w:r>
          </w:p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1601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Par exemple, « un carré, un disque, deux carrés, deux disques et on recommence en ajoutant un à chaque fois »</w:t>
            </w:r>
          </w:p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7113E" w:rsidRDefault="00E7113E" w:rsidP="00E7113E">
            <w:pPr>
              <w:jc w:val="center"/>
            </w:pPr>
            <w:r w:rsidRPr="00204683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inline distT="0" distB="0" distL="0" distR="0" wp14:anchorId="1199D382" wp14:editId="5553CD89">
                  <wp:extent cx="1092256" cy="152408"/>
                  <wp:effectExtent l="0" t="0" r="0" b="0"/>
                  <wp:docPr id="20567579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75798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56" cy="152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F4B083" w:themeFill="accent2" w:themeFillTint="99"/>
          </w:tcPr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1601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Transcrire un motif visuel simple en utilisant des symboles différents de ceux qui le comp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osent </w:t>
            </w:r>
          </w:p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7113E" w:rsidRPr="00500DC0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204683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inline distT="0" distB="0" distL="0" distR="0" wp14:anchorId="0B00DA2A" wp14:editId="3ABE251F">
                  <wp:extent cx="2000250" cy="240030"/>
                  <wp:effectExtent l="0" t="0" r="0" b="7620"/>
                  <wp:docPr id="21276773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67737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278" cy="246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F4B083" w:themeFill="accent2" w:themeFillTint="99"/>
          </w:tcPr>
          <w:p w:rsidR="00E7113E" w:rsidRPr="00500DC0" w:rsidRDefault="00E7113E" w:rsidP="00E7113E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1601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Reconnaitre des motifs visuels ayant la même structure</w:t>
            </w:r>
          </w:p>
        </w:tc>
        <w:tc>
          <w:tcPr>
            <w:tcW w:w="973" w:type="dxa"/>
            <w:shd w:val="clear" w:color="auto" w:fill="F4B083" w:themeFill="accent2" w:themeFillTint="99"/>
          </w:tcPr>
          <w:p w:rsidR="00E7113E" w:rsidRDefault="00E7113E" w:rsidP="00E7113E">
            <w:pPr>
              <w:jc w:val="center"/>
            </w:pPr>
            <w:r w:rsidRPr="0020468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Transcrire sous forme visuelle ou gestuelle un motif sonore (et vice versa)</w:t>
            </w:r>
          </w:p>
        </w:tc>
        <w:tc>
          <w:tcPr>
            <w:tcW w:w="1870" w:type="dxa"/>
            <w:shd w:val="clear" w:color="auto" w:fill="F4B083" w:themeFill="accent2" w:themeFillTint="99"/>
          </w:tcPr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Pr="00204683">
              <w:rPr>
                <w:rFonts w:asciiTheme="majorHAnsi" w:hAnsiTheme="majorHAnsi" w:cstheme="majorHAnsi"/>
                <w:sz w:val="18"/>
                <w:szCs w:val="18"/>
              </w:rPr>
              <w:t>réer un motif (visuel, sonore ou gestuel) et le décrire afin qu’un autre élève soit capable de le reproduire</w:t>
            </w:r>
          </w:p>
          <w:p w:rsidR="00E7113E" w:rsidRDefault="00E7113E" w:rsidP="00E7113E">
            <w:pPr>
              <w:jc w:val="center"/>
            </w:pPr>
          </w:p>
        </w:tc>
        <w:tc>
          <w:tcPr>
            <w:tcW w:w="1710" w:type="dxa"/>
            <w:shd w:val="clear" w:color="auto" w:fill="F4B083" w:themeFill="accent2" w:themeFillTint="99"/>
          </w:tcPr>
          <w:p w:rsidR="00E7113E" w:rsidRDefault="00E7113E" w:rsidP="00E711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L’</w:t>
            </w:r>
            <w:r w:rsidRPr="00204683">
              <w:rPr>
                <w:rFonts w:asciiTheme="majorHAnsi" w:hAnsiTheme="majorHAnsi" w:cstheme="majorHAnsi"/>
                <w:sz w:val="18"/>
                <w:szCs w:val="18"/>
              </w:rPr>
              <w:t xml:space="preserve">élève est capable de décrire oralement une règle de fabrication pour chacun des colliers suivants, ayant tous pour amorce la succession d’une perle rouge, d’une perle bleue et </w:t>
            </w:r>
            <w:r w:rsidR="006473B5">
              <w:rPr>
                <w:rFonts w:asciiTheme="majorHAnsi" w:hAnsiTheme="majorHAnsi" w:cstheme="majorHAnsi"/>
                <w:sz w:val="18"/>
                <w:szCs w:val="18"/>
              </w:rPr>
              <w:t xml:space="preserve">parfois </w:t>
            </w:r>
            <w:r w:rsidRPr="00204683">
              <w:rPr>
                <w:rFonts w:asciiTheme="majorHAnsi" w:hAnsiTheme="majorHAnsi" w:cstheme="majorHAnsi"/>
                <w:sz w:val="18"/>
                <w:szCs w:val="18"/>
              </w:rPr>
              <w:t xml:space="preserve">d’une perle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jaune</w:t>
            </w:r>
            <w:r w:rsidRPr="00204683">
              <w:rPr>
                <w:rFonts w:asciiTheme="majorHAnsi" w:hAnsiTheme="majorHAnsi" w:cstheme="majorHAnsi"/>
                <w:sz w:val="18"/>
                <w:szCs w:val="18"/>
              </w:rPr>
              <w:t xml:space="preserve"> :</w:t>
            </w:r>
          </w:p>
          <w:p w:rsidR="00E7113E" w:rsidRPr="00E7113E" w:rsidRDefault="00E7113E" w:rsidP="00E7113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04683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inline distT="0" distB="0" distL="0" distR="0" wp14:anchorId="2BA2E204" wp14:editId="22C57F6F">
                  <wp:extent cx="609600" cy="444243"/>
                  <wp:effectExtent l="0" t="0" r="0" b="0"/>
                  <wp:docPr id="13593774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3774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09" cy="45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5DF" w:rsidRDefault="00A665DF"/>
    <w:p w:rsidR="00E7113E" w:rsidRDefault="00E7113E"/>
    <w:p w:rsidR="00E7113E" w:rsidRDefault="00E7113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8754"/>
      </w:tblGrid>
      <w:tr w:rsidR="00E7113E" w:rsidTr="00E7113E">
        <w:tc>
          <w:tcPr>
            <w:tcW w:w="13994" w:type="dxa"/>
            <w:gridSpan w:val="2"/>
            <w:shd w:val="clear" w:color="auto" w:fill="FFF2CC" w:themeFill="accent4" w:themeFillTint="33"/>
          </w:tcPr>
          <w:p w:rsidR="00E7113E" w:rsidRDefault="00E7113E" w:rsidP="00E7113E">
            <w:pPr>
              <w:jc w:val="center"/>
            </w:pPr>
            <w:r>
              <w:t>Description de la démarche</w:t>
            </w:r>
            <w:r w:rsidR="00AF26D1">
              <w:t> :</w:t>
            </w:r>
          </w:p>
        </w:tc>
      </w:tr>
      <w:tr w:rsidR="006049EE" w:rsidTr="00E7113E">
        <w:tc>
          <w:tcPr>
            <w:tcW w:w="13994" w:type="dxa"/>
            <w:gridSpan w:val="2"/>
            <w:shd w:val="clear" w:color="auto" w:fill="FFF2CC" w:themeFill="accent4" w:themeFillTint="33"/>
          </w:tcPr>
          <w:p w:rsidR="00150890" w:rsidRDefault="006049EE" w:rsidP="006049EE">
            <w:pPr>
              <w:jc w:val="center"/>
            </w:pPr>
            <w:r>
              <w:t xml:space="preserve">La démarche d’enseignement illustrée dans les séquences des livrets </w:t>
            </w:r>
            <w:r w:rsidR="00150890">
              <w:t xml:space="preserve">d’accompagnement </w:t>
            </w:r>
            <w:r>
              <w:t xml:space="preserve">se compose de </w:t>
            </w:r>
          </w:p>
          <w:p w:rsidR="00C50F4B" w:rsidRDefault="00150890" w:rsidP="00150890">
            <w:pPr>
              <w:jc w:val="center"/>
            </w:pPr>
            <w:r>
              <w:t>q</w:t>
            </w:r>
            <w:r w:rsidR="006049EE">
              <w:t>uatre</w:t>
            </w:r>
            <w:r>
              <w:t xml:space="preserve"> </w:t>
            </w:r>
            <w:r w:rsidR="006049EE">
              <w:t xml:space="preserve">temps d’enseignement pour aider l’élève de passer de découvertes fortuites à </w:t>
            </w:r>
          </w:p>
          <w:p w:rsidR="006049EE" w:rsidRDefault="006049EE" w:rsidP="00C50F4B">
            <w:pPr>
              <w:jc w:val="center"/>
            </w:pPr>
            <w:r>
              <w:t>des apprentissages</w:t>
            </w:r>
            <w:r w:rsidR="00C50F4B">
              <w:t xml:space="preserve"> </w:t>
            </w:r>
            <w:r>
              <w:t>structurés et transférables :</w:t>
            </w:r>
          </w:p>
          <w:p w:rsidR="006049EE" w:rsidRDefault="006049EE" w:rsidP="00E7113E">
            <w:pPr>
              <w:jc w:val="center"/>
            </w:pPr>
          </w:p>
        </w:tc>
      </w:tr>
      <w:tr w:rsidR="00FC5129" w:rsidTr="006049EE">
        <w:tc>
          <w:tcPr>
            <w:tcW w:w="5240" w:type="dxa"/>
          </w:tcPr>
          <w:p w:rsidR="00FC5129" w:rsidRPr="000C452C" w:rsidRDefault="00FC5129" w:rsidP="006049EE"/>
        </w:tc>
        <w:tc>
          <w:tcPr>
            <w:tcW w:w="8754" w:type="dxa"/>
          </w:tcPr>
          <w:p w:rsidR="00FC5129" w:rsidRDefault="00FC5129" w:rsidP="006049EE">
            <w:pPr>
              <w:jc w:val="center"/>
            </w:pPr>
            <w:r>
              <w:t>Description :</w:t>
            </w:r>
          </w:p>
        </w:tc>
      </w:tr>
      <w:tr w:rsidR="006049EE" w:rsidTr="00FC5129">
        <w:tc>
          <w:tcPr>
            <w:tcW w:w="5240" w:type="dxa"/>
          </w:tcPr>
          <w:p w:rsidR="006049EE" w:rsidRDefault="006049EE" w:rsidP="006049EE">
            <w:r w:rsidRPr="000C452C">
              <w:t>Temps 1 – Définition des objectifs et mise en réussite</w:t>
            </w:r>
          </w:p>
          <w:p w:rsidR="006049EE" w:rsidRDefault="006049EE" w:rsidP="006049EE"/>
          <w:p w:rsidR="006049EE" w:rsidRPr="000C452C" w:rsidRDefault="006049EE" w:rsidP="006049EE"/>
        </w:tc>
        <w:tc>
          <w:tcPr>
            <w:tcW w:w="8754" w:type="dxa"/>
            <w:shd w:val="clear" w:color="auto" w:fill="F2F2F2" w:themeFill="background1" w:themeFillShade="F2"/>
          </w:tcPr>
          <w:p w:rsidR="006049EE" w:rsidRDefault="006049EE" w:rsidP="006049EE">
            <w:pPr>
              <w:jc w:val="center"/>
            </w:pPr>
            <w:r>
              <w:t>Phase de découverte :</w:t>
            </w:r>
          </w:p>
        </w:tc>
      </w:tr>
      <w:tr w:rsidR="006049EE" w:rsidTr="00FC5129">
        <w:tc>
          <w:tcPr>
            <w:tcW w:w="5240" w:type="dxa"/>
          </w:tcPr>
          <w:p w:rsidR="006049EE" w:rsidRDefault="006049EE" w:rsidP="006049EE">
            <w:r w:rsidRPr="000C452C">
              <w:t xml:space="preserve"> Temps 2 – Mise en activité différenciée des élèves</w:t>
            </w:r>
          </w:p>
          <w:p w:rsidR="006049EE" w:rsidRDefault="006049EE" w:rsidP="006049EE"/>
          <w:p w:rsidR="006049EE" w:rsidRPr="000C452C" w:rsidRDefault="006049EE" w:rsidP="006049EE"/>
        </w:tc>
        <w:tc>
          <w:tcPr>
            <w:tcW w:w="8754" w:type="dxa"/>
            <w:shd w:val="clear" w:color="auto" w:fill="F2F2F2" w:themeFill="background1" w:themeFillShade="F2"/>
          </w:tcPr>
          <w:p w:rsidR="006049EE" w:rsidRDefault="006049EE" w:rsidP="006049EE">
            <w:pPr>
              <w:jc w:val="center"/>
            </w:pPr>
            <w:r>
              <w:t>Phase de mise en activité</w:t>
            </w:r>
            <w:r w:rsidR="00150890">
              <w:t> :</w:t>
            </w:r>
          </w:p>
        </w:tc>
      </w:tr>
      <w:tr w:rsidR="006049EE" w:rsidTr="00FC5129">
        <w:tc>
          <w:tcPr>
            <w:tcW w:w="5240" w:type="dxa"/>
          </w:tcPr>
          <w:p w:rsidR="006049EE" w:rsidRDefault="006049EE" w:rsidP="006049EE">
            <w:r w:rsidRPr="000C452C">
              <w:t>Temps 3 – Institutionnalisation, retour réflexif</w:t>
            </w:r>
          </w:p>
          <w:p w:rsidR="006049EE" w:rsidRDefault="006049EE" w:rsidP="006049EE"/>
          <w:p w:rsidR="006049EE" w:rsidRPr="000C452C" w:rsidRDefault="006049EE" w:rsidP="006049EE"/>
        </w:tc>
        <w:tc>
          <w:tcPr>
            <w:tcW w:w="8754" w:type="dxa"/>
            <w:shd w:val="clear" w:color="auto" w:fill="F2F2F2" w:themeFill="background1" w:themeFillShade="F2"/>
          </w:tcPr>
          <w:p w:rsidR="006049EE" w:rsidRDefault="006049EE" w:rsidP="006049EE">
            <w:pPr>
              <w:jc w:val="center"/>
            </w:pPr>
            <w:r>
              <w:t>Retour sur la situation d’apprentissage à l’aide d’une trace de l’activité</w:t>
            </w:r>
            <w:r w:rsidR="00150890">
              <w:t> :</w:t>
            </w:r>
          </w:p>
        </w:tc>
      </w:tr>
      <w:tr w:rsidR="006049EE" w:rsidTr="00FC5129">
        <w:tc>
          <w:tcPr>
            <w:tcW w:w="5240" w:type="dxa"/>
          </w:tcPr>
          <w:p w:rsidR="006049EE" w:rsidRDefault="006049EE" w:rsidP="006049EE">
            <w:r w:rsidRPr="000C452C">
              <w:t>Temps 4 – Automatisation, réinvestissement, transfert</w:t>
            </w:r>
          </w:p>
          <w:p w:rsidR="006049EE" w:rsidRDefault="006049EE" w:rsidP="006049EE"/>
          <w:p w:rsidR="006049EE" w:rsidRPr="000C452C" w:rsidRDefault="006049EE" w:rsidP="006049EE"/>
        </w:tc>
        <w:tc>
          <w:tcPr>
            <w:tcW w:w="8754" w:type="dxa"/>
            <w:shd w:val="clear" w:color="auto" w:fill="F2F2F2" w:themeFill="background1" w:themeFillShade="F2"/>
          </w:tcPr>
          <w:p w:rsidR="006049EE" w:rsidRDefault="006049EE" w:rsidP="006049EE">
            <w:pPr>
              <w:jc w:val="center"/>
            </w:pPr>
            <w:r>
              <w:t>Phase d’entrainement</w:t>
            </w:r>
            <w:r w:rsidR="00150890">
              <w:t> </w:t>
            </w:r>
            <w:r w:rsidR="00A672D0">
              <w:t xml:space="preserve"> et de consolidation des apprentissages</w:t>
            </w:r>
          </w:p>
        </w:tc>
      </w:tr>
      <w:tr w:rsidR="00E7113E" w:rsidTr="00E7113E">
        <w:tc>
          <w:tcPr>
            <w:tcW w:w="13994" w:type="dxa"/>
            <w:gridSpan w:val="2"/>
            <w:shd w:val="clear" w:color="auto" w:fill="FBE4D5" w:themeFill="accent2" w:themeFillTint="33"/>
          </w:tcPr>
          <w:p w:rsidR="00E7113E" w:rsidRDefault="00E7113E" w:rsidP="00E7113E">
            <w:pPr>
              <w:jc w:val="center"/>
            </w:pPr>
            <w:r>
              <w:t xml:space="preserve">Photos des </w:t>
            </w:r>
            <w:r w:rsidR="006F3297">
              <w:t xml:space="preserve">situations et/ou </w:t>
            </w:r>
            <w:r>
              <w:t>productions des élèves</w:t>
            </w:r>
            <w:r w:rsidR="006D11A7">
              <w:t> :</w:t>
            </w:r>
          </w:p>
        </w:tc>
      </w:tr>
      <w:tr w:rsidR="00E7113E" w:rsidTr="00FC5129">
        <w:tc>
          <w:tcPr>
            <w:tcW w:w="13994" w:type="dxa"/>
            <w:gridSpan w:val="2"/>
            <w:shd w:val="clear" w:color="auto" w:fill="F2F2F2" w:themeFill="background1" w:themeFillShade="F2"/>
          </w:tcPr>
          <w:p w:rsidR="00E7113E" w:rsidRDefault="00E7113E"/>
          <w:p w:rsidR="00E7113E" w:rsidRDefault="00E7113E"/>
          <w:p w:rsidR="00E7113E" w:rsidRDefault="00E7113E"/>
          <w:p w:rsidR="00E7113E" w:rsidRDefault="00E7113E"/>
          <w:p w:rsidR="00E7113E" w:rsidRDefault="00E7113E"/>
          <w:p w:rsidR="00E7113E" w:rsidRDefault="00E7113E"/>
          <w:p w:rsidR="00E7113E" w:rsidRDefault="00E7113E"/>
          <w:p w:rsidR="00E7113E" w:rsidRDefault="00E7113E"/>
        </w:tc>
      </w:tr>
    </w:tbl>
    <w:p w:rsidR="00E7113E" w:rsidRDefault="003065BD">
      <w:r>
        <w:t xml:space="preserve">Ressources : </w:t>
      </w:r>
      <w:hyperlink r:id="rId7" w:history="1">
        <w:r w:rsidRPr="003065BD">
          <w:rPr>
            <w:rStyle w:val="Lienhypertexte"/>
          </w:rPr>
          <w:t>https://eduscol.education.fr/2819/acquerir-les-premiers-outils-mathematiques-cycle-1</w:t>
        </w:r>
      </w:hyperlink>
    </w:p>
    <w:p w:rsidR="00FC5129" w:rsidRDefault="00FC5129">
      <w:r>
        <w:t>Remplir les zones grisées.</w:t>
      </w:r>
      <w:r w:rsidR="00BC5FE5">
        <w:t xml:space="preserve"> A déposer sur le DIGIPAD : </w:t>
      </w:r>
      <w:hyperlink r:id="rId8" w:history="1">
        <w:r w:rsidR="00BC5FE5" w:rsidRPr="00BC5FE5">
          <w:rPr>
            <w:rStyle w:val="Lienhypertexte"/>
          </w:rPr>
          <w:t>https://digipad.app/p/1556692/4ba481767294b8</w:t>
        </w:r>
      </w:hyperlink>
      <w:r w:rsidR="00BC5FE5">
        <w:t xml:space="preserve"> avant le 02 mars 2026.</w:t>
      </w:r>
    </w:p>
    <w:p w:rsidR="003065BD" w:rsidRDefault="003065BD"/>
    <w:p w:rsidR="003065BD" w:rsidRPr="003065BD" w:rsidRDefault="003065BD" w:rsidP="003065BD">
      <w:pPr>
        <w:jc w:val="center"/>
        <w:rPr>
          <w:rFonts w:asciiTheme="majorHAnsi" w:hAnsiTheme="majorHAnsi" w:cstheme="majorHAnsi"/>
          <w:sz w:val="24"/>
          <w:szCs w:val="24"/>
        </w:rPr>
      </w:pPr>
      <w:r w:rsidRPr="003065BD">
        <w:rPr>
          <w:rFonts w:asciiTheme="majorHAnsi" w:hAnsiTheme="majorHAnsi" w:cstheme="majorHAnsi"/>
          <w:sz w:val="24"/>
          <w:szCs w:val="24"/>
        </w:rPr>
        <w:t>Livret d’accompagnement des programmes 2025</w:t>
      </w:r>
    </w:p>
    <w:p w:rsidR="003065BD" w:rsidRPr="003065BD" w:rsidRDefault="003065BD" w:rsidP="003065BD">
      <w:pPr>
        <w:jc w:val="center"/>
        <w:rPr>
          <w:rFonts w:asciiTheme="majorHAnsi" w:hAnsiTheme="majorHAnsi" w:cstheme="majorHAnsi"/>
          <w:sz w:val="24"/>
          <w:szCs w:val="24"/>
        </w:rPr>
      </w:pPr>
      <w:r w:rsidRPr="003065BD">
        <w:rPr>
          <w:rFonts w:asciiTheme="majorHAnsi" w:hAnsiTheme="majorHAnsi" w:cstheme="majorHAnsi"/>
          <w:sz w:val="24"/>
          <w:szCs w:val="24"/>
        </w:rPr>
        <w:t>Exemples de séquences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3065BD" w:rsidTr="007E5D58">
        <w:tc>
          <w:tcPr>
            <w:tcW w:w="2689" w:type="dxa"/>
            <w:shd w:val="clear" w:color="auto" w:fill="FFF2CC" w:themeFill="accent4" w:themeFillTint="33"/>
          </w:tcPr>
          <w:p w:rsidR="003065BD" w:rsidRPr="003E5C9B" w:rsidRDefault="003065BD" w:rsidP="007E5D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Petite section</w:t>
            </w:r>
          </w:p>
        </w:tc>
        <w:tc>
          <w:tcPr>
            <w:tcW w:w="11305" w:type="dxa"/>
          </w:tcPr>
          <w:p w:rsidR="003065BD" w:rsidRDefault="003065BD" w:rsidP="007E5D58">
            <w:hyperlink r:id="rId9" w:history="1">
              <w:r w:rsidRPr="003065BD">
                <w:rPr>
                  <w:rStyle w:val="Lienhypertexte"/>
                </w:rPr>
                <w:t>https://eduscol.education.fr/document/65307/download</w:t>
              </w:r>
            </w:hyperlink>
          </w:p>
        </w:tc>
      </w:tr>
      <w:tr w:rsidR="003065BD" w:rsidTr="007E5D58">
        <w:tc>
          <w:tcPr>
            <w:tcW w:w="2689" w:type="dxa"/>
            <w:shd w:val="clear" w:color="auto" w:fill="FFF2CC" w:themeFill="accent4" w:themeFillTint="33"/>
          </w:tcPr>
          <w:p w:rsidR="003065BD" w:rsidRPr="003E5C9B" w:rsidRDefault="003065BD" w:rsidP="007E5D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Moyenne section</w:t>
            </w:r>
          </w:p>
        </w:tc>
        <w:tc>
          <w:tcPr>
            <w:tcW w:w="11305" w:type="dxa"/>
          </w:tcPr>
          <w:p w:rsidR="003065BD" w:rsidRDefault="003065BD" w:rsidP="007E5D58">
            <w:hyperlink r:id="rId10" w:history="1">
              <w:r w:rsidRPr="003065BD">
                <w:rPr>
                  <w:rStyle w:val="Lienhypertexte"/>
                </w:rPr>
                <w:t>https://eduscol.education.fr/document/65869/download</w:t>
              </w:r>
            </w:hyperlink>
          </w:p>
        </w:tc>
      </w:tr>
      <w:tr w:rsidR="003065BD" w:rsidTr="007E5D58">
        <w:tc>
          <w:tcPr>
            <w:tcW w:w="2689" w:type="dxa"/>
            <w:shd w:val="clear" w:color="auto" w:fill="FFF2CC" w:themeFill="accent4" w:themeFillTint="33"/>
          </w:tcPr>
          <w:p w:rsidR="003065BD" w:rsidRPr="003E5C9B" w:rsidRDefault="003065BD" w:rsidP="007E5D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Grande section </w:t>
            </w:r>
          </w:p>
        </w:tc>
        <w:tc>
          <w:tcPr>
            <w:tcW w:w="11305" w:type="dxa"/>
          </w:tcPr>
          <w:p w:rsidR="003065BD" w:rsidRDefault="003065BD" w:rsidP="007E5D58">
            <w:hyperlink r:id="rId11" w:history="1">
              <w:r w:rsidRPr="003065BD">
                <w:rPr>
                  <w:rStyle w:val="Lienhypertexte"/>
                </w:rPr>
                <w:t>https://eduscol.education.fr/document/68964/download</w:t>
              </w:r>
            </w:hyperlink>
          </w:p>
        </w:tc>
      </w:tr>
    </w:tbl>
    <w:p w:rsidR="00E7113E" w:rsidRDefault="00E7113E"/>
    <w:sectPr w:rsidR="00E7113E" w:rsidSect="00A665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DF"/>
    <w:rsid w:val="00025645"/>
    <w:rsid w:val="000D782A"/>
    <w:rsid w:val="00150890"/>
    <w:rsid w:val="001C670C"/>
    <w:rsid w:val="001D1789"/>
    <w:rsid w:val="003065BD"/>
    <w:rsid w:val="003E5C9B"/>
    <w:rsid w:val="005C38BA"/>
    <w:rsid w:val="006049EE"/>
    <w:rsid w:val="006473B5"/>
    <w:rsid w:val="006D11A7"/>
    <w:rsid w:val="006F3297"/>
    <w:rsid w:val="008A7C98"/>
    <w:rsid w:val="00A665DF"/>
    <w:rsid w:val="00A672D0"/>
    <w:rsid w:val="00AF26D1"/>
    <w:rsid w:val="00B10FC0"/>
    <w:rsid w:val="00BC5FE5"/>
    <w:rsid w:val="00BD1168"/>
    <w:rsid w:val="00C50F4B"/>
    <w:rsid w:val="00E7113E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77E7"/>
  <w15:chartTrackingRefBased/>
  <w15:docId w15:val="{95D196A3-2688-4242-ADD6-F0E33CE7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BD"/>
  </w:style>
  <w:style w:type="paragraph" w:styleId="Titre1">
    <w:name w:val="heading 1"/>
    <w:basedOn w:val="Normal"/>
    <w:next w:val="Normal"/>
    <w:link w:val="Titre1Car"/>
    <w:uiPriority w:val="9"/>
    <w:qFormat/>
    <w:rsid w:val="00A6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6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6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6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6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6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6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6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6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65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65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65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65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65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65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6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65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65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65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6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65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65D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6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065B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6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pad.app/p/1556692/4ba481767294b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scol.education.fr/2819/acquerir-les-premiers-outils-mathematiques-cycle-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eduscol.education.fr/document/68964/download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eduscol.education.fr/document/65869/downloa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duscol.education.fr/document/65307/downlo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Boeglen</dc:creator>
  <cp:keywords/>
  <dc:description/>
  <cp:lastModifiedBy>Patricia Boeglen</cp:lastModifiedBy>
  <cp:revision>17</cp:revision>
  <dcterms:created xsi:type="dcterms:W3CDTF">2026-01-23T14:20:00Z</dcterms:created>
  <dcterms:modified xsi:type="dcterms:W3CDTF">2026-01-29T12:08:00Z</dcterms:modified>
</cp:coreProperties>
</file>