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08" w:rsidRPr="00E61C68" w:rsidRDefault="00FB0C08" w:rsidP="00E61C68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E61C68">
        <w:rPr>
          <w:rFonts w:ascii="Comic Sans MS" w:hAnsi="Comic Sans MS"/>
          <w:sz w:val="24"/>
          <w:szCs w:val="24"/>
        </w:rPr>
        <w:t xml:space="preserve">Terminale S       </w:t>
      </w:r>
      <w:r w:rsidR="007C26A9" w:rsidRPr="00E61C68">
        <w:rPr>
          <w:rFonts w:ascii="Comic Sans MS" w:hAnsi="Comic Sans MS"/>
          <w:sz w:val="24"/>
          <w:szCs w:val="24"/>
        </w:rPr>
        <w:t xml:space="preserve">    </w:t>
      </w:r>
      <w:r w:rsidRPr="00E61C68">
        <w:rPr>
          <w:rFonts w:ascii="Comic Sans MS" w:hAnsi="Comic Sans MS"/>
          <w:sz w:val="24"/>
          <w:szCs w:val="24"/>
        </w:rPr>
        <w:t xml:space="preserve">                         </w:t>
      </w:r>
      <w:r w:rsidR="00E61C68">
        <w:rPr>
          <w:rFonts w:ascii="Comic Sans MS" w:hAnsi="Comic Sans MS"/>
          <w:sz w:val="24"/>
          <w:szCs w:val="24"/>
        </w:rPr>
        <w:t xml:space="preserve">                      </w:t>
      </w:r>
      <w:r w:rsidRPr="00E61C68">
        <w:rPr>
          <w:rFonts w:ascii="Comic Sans MS" w:hAnsi="Comic Sans MS"/>
          <w:sz w:val="24"/>
          <w:szCs w:val="24"/>
        </w:rPr>
        <w:t xml:space="preserve">                     Compétences expérimentales</w:t>
      </w:r>
    </w:p>
    <w:p w:rsidR="00F8770E" w:rsidRPr="00E61C68" w:rsidRDefault="007C26A9" w:rsidP="00E61C68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E61C68">
        <w:rPr>
          <w:rFonts w:ascii="Comic Sans MS" w:hAnsi="Comic Sans MS"/>
          <w:sz w:val="24"/>
          <w:szCs w:val="24"/>
        </w:rPr>
        <w:t>« </w:t>
      </w:r>
      <w:r w:rsidR="00FB0C08" w:rsidRPr="00E61C68">
        <w:rPr>
          <w:rFonts w:ascii="Comic Sans MS" w:hAnsi="Comic Sans MS"/>
          <w:sz w:val="24"/>
          <w:szCs w:val="24"/>
        </w:rPr>
        <w:t xml:space="preserve"> Mettre en œuvre une démarche expérimentale pour mesurer </w:t>
      </w:r>
    </w:p>
    <w:p w:rsidR="0000165E" w:rsidRDefault="00FB0C08" w:rsidP="00E61C68">
      <w:pPr>
        <w:spacing w:after="0"/>
        <w:jc w:val="center"/>
        <w:rPr>
          <w:rFonts w:ascii="Comic Sans MS" w:hAnsi="Comic Sans MS"/>
          <w:sz w:val="24"/>
          <w:szCs w:val="24"/>
        </w:rPr>
      </w:pPr>
      <w:proofErr w:type="gramStart"/>
      <w:r w:rsidRPr="00E61C68">
        <w:rPr>
          <w:rFonts w:ascii="Comic Sans MS" w:hAnsi="Comic Sans MS"/>
          <w:sz w:val="24"/>
          <w:szCs w:val="24"/>
        </w:rPr>
        <w:t>une</w:t>
      </w:r>
      <w:proofErr w:type="gramEnd"/>
      <w:r w:rsidRPr="00E61C68">
        <w:rPr>
          <w:rFonts w:ascii="Comic Sans MS" w:hAnsi="Comic Sans MS"/>
          <w:sz w:val="24"/>
          <w:szCs w:val="24"/>
        </w:rPr>
        <w:t xml:space="preserve"> vitesse en utilisant l’effet Doppler</w:t>
      </w:r>
      <w:r w:rsidR="007C26A9" w:rsidRPr="00E61C68">
        <w:rPr>
          <w:rFonts w:ascii="Comic Sans MS" w:hAnsi="Comic Sans MS"/>
          <w:sz w:val="24"/>
          <w:szCs w:val="24"/>
        </w:rPr>
        <w:t> »</w:t>
      </w:r>
    </w:p>
    <w:p w:rsidR="00E61C68" w:rsidRPr="00E61C68" w:rsidRDefault="00E61C68" w:rsidP="00E61C68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FB0C08" w:rsidRDefault="00FB0C08" w:rsidP="00E61C68">
      <w:pPr>
        <w:spacing w:after="0"/>
        <w:jc w:val="both"/>
        <w:rPr>
          <w:rFonts w:ascii="Comic Sans MS" w:hAnsi="Comic Sans MS"/>
        </w:rPr>
      </w:pPr>
      <w:r w:rsidRPr="007C26A9">
        <w:rPr>
          <w:rFonts w:ascii="Comic Sans MS" w:hAnsi="Comic Sans MS"/>
          <w:b/>
          <w:u w:val="single"/>
        </w:rPr>
        <w:t>Etude préliminaire</w:t>
      </w:r>
      <w:r>
        <w:rPr>
          <w:rFonts w:ascii="Comic Sans MS" w:hAnsi="Comic Sans MS"/>
        </w:rPr>
        <w:t xml:space="preserve"> : </w:t>
      </w:r>
      <w:r w:rsidR="00AA7495">
        <w:rPr>
          <w:rFonts w:ascii="Comic Sans MS" w:hAnsi="Comic Sans MS"/>
        </w:rPr>
        <w:t>Comment déterminer rapidement la</w:t>
      </w:r>
      <w:r>
        <w:rPr>
          <w:rFonts w:ascii="Comic Sans MS" w:hAnsi="Comic Sans MS"/>
        </w:rPr>
        <w:t xml:space="preserve"> différence des fréquences entre deux fonctions sinusoïdales</w:t>
      </w:r>
      <w:r w:rsidR="00AA7495">
        <w:rPr>
          <w:rFonts w:ascii="Comic Sans MS" w:hAnsi="Comic Sans MS"/>
        </w:rPr>
        <w:t> </w:t>
      </w:r>
      <w:r w:rsidR="003009D1">
        <w:rPr>
          <w:rFonts w:ascii="Comic Sans MS" w:hAnsi="Comic Sans MS"/>
        </w:rPr>
        <w:t xml:space="preserve"> de fréquences proches </w:t>
      </w:r>
      <w:r w:rsidR="00AA7495">
        <w:rPr>
          <w:rFonts w:ascii="Comic Sans MS" w:hAnsi="Comic Sans MS"/>
        </w:rPr>
        <w:t>?</w:t>
      </w:r>
    </w:p>
    <w:p w:rsidR="005465FB" w:rsidRDefault="00AA7495" w:rsidP="003009D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Observation en </w:t>
      </w:r>
      <w:proofErr w:type="spellStart"/>
      <w:r>
        <w:rPr>
          <w:rFonts w:ascii="Comic Sans MS" w:hAnsi="Comic Sans MS"/>
        </w:rPr>
        <w:t>Regressi</w:t>
      </w:r>
      <w:proofErr w:type="spellEnd"/>
      <w:r>
        <w:rPr>
          <w:rFonts w:ascii="Comic Sans MS" w:hAnsi="Comic Sans MS"/>
        </w:rPr>
        <w:t> : charger le fichier « </w:t>
      </w:r>
      <w:r w:rsidR="007C26A9">
        <w:rPr>
          <w:rFonts w:ascii="Comic Sans MS" w:hAnsi="Comic Sans MS"/>
        </w:rPr>
        <w:t>Battements 50</w:t>
      </w:r>
      <w:r>
        <w:rPr>
          <w:rFonts w:ascii="Comic Sans MS" w:hAnsi="Comic Sans MS"/>
        </w:rPr>
        <w:t xml:space="preserve"> » ; il présente deux fonctions y et z, sinusoïdales, de fréquence </w:t>
      </w:r>
      <w:r w:rsidR="005465FB">
        <w:rPr>
          <w:rFonts w:ascii="Comic Sans MS" w:hAnsi="Comic Sans MS"/>
        </w:rPr>
        <w:t>50 Hz pour y</w:t>
      </w:r>
      <w:r w:rsidR="007C26A9">
        <w:rPr>
          <w:rFonts w:ascii="Comic Sans MS" w:hAnsi="Comic Sans MS"/>
        </w:rPr>
        <w:t xml:space="preserve"> (amplitude 2)</w:t>
      </w:r>
      <w:r w:rsidR="005465FB">
        <w:rPr>
          <w:rFonts w:ascii="Comic Sans MS" w:hAnsi="Comic Sans MS"/>
        </w:rPr>
        <w:t xml:space="preserve"> et 52</w:t>
      </w:r>
      <w:r>
        <w:rPr>
          <w:rFonts w:ascii="Comic Sans MS" w:hAnsi="Comic Sans MS"/>
        </w:rPr>
        <w:t xml:space="preserve"> Hz pour z </w:t>
      </w:r>
      <w:r w:rsidR="007C26A9">
        <w:rPr>
          <w:rFonts w:ascii="Comic Sans MS" w:hAnsi="Comic Sans MS"/>
        </w:rPr>
        <w:t>(</w:t>
      </w:r>
      <w:proofErr w:type="gramStart"/>
      <w:r w:rsidR="007C26A9">
        <w:rPr>
          <w:rFonts w:ascii="Comic Sans MS" w:hAnsi="Comic Sans MS"/>
        </w:rPr>
        <w:t>amplitude</w:t>
      </w:r>
      <w:proofErr w:type="gramEnd"/>
      <w:r w:rsidR="007C26A9">
        <w:rPr>
          <w:rFonts w:ascii="Comic Sans MS" w:hAnsi="Comic Sans MS"/>
        </w:rPr>
        <w:t xml:space="preserve"> 1) </w:t>
      </w:r>
      <w:r>
        <w:rPr>
          <w:rFonts w:ascii="Comic Sans MS" w:hAnsi="Comic Sans MS"/>
        </w:rPr>
        <w:t>; observer la courbe représentant la fonction Y = y + z</w:t>
      </w:r>
      <w:r w:rsidR="00B028D1">
        <w:rPr>
          <w:rFonts w:ascii="Comic Sans MS" w:hAnsi="Comic Sans MS"/>
        </w:rPr>
        <w:t> ; elle présente une forme particulière appelée « battements »</w:t>
      </w:r>
      <w:r w:rsidR="005465FB">
        <w:rPr>
          <w:rFonts w:ascii="Comic Sans MS" w:hAnsi="Comic Sans MS"/>
        </w:rPr>
        <w:t> ; c’est un phénomène périodique</w:t>
      </w:r>
      <w:r w:rsidR="003009D1">
        <w:rPr>
          <w:rFonts w:ascii="Comic Sans MS" w:hAnsi="Comic Sans MS"/>
        </w:rPr>
        <w:t xml:space="preserve"> ; </w:t>
      </w:r>
      <w:r w:rsidR="00272937">
        <w:rPr>
          <w:rFonts w:ascii="Comic Sans MS" w:hAnsi="Comic Sans MS"/>
        </w:rPr>
        <w:t xml:space="preserve">on constate que </w:t>
      </w:r>
      <w:r w:rsidR="003009D1">
        <w:rPr>
          <w:rFonts w:ascii="Comic Sans MS" w:hAnsi="Comic Sans MS"/>
        </w:rPr>
        <w:t>sa</w:t>
      </w:r>
      <w:r w:rsidR="005465FB">
        <w:rPr>
          <w:rFonts w:ascii="Comic Sans MS" w:hAnsi="Comic Sans MS"/>
        </w:rPr>
        <w:t xml:space="preserve"> fréquence</w:t>
      </w:r>
      <w:r w:rsidR="003009D1">
        <w:rPr>
          <w:rFonts w:ascii="Comic Sans MS" w:hAnsi="Comic Sans MS"/>
        </w:rPr>
        <w:t> </w:t>
      </w:r>
      <w:r w:rsidR="00272937">
        <w:rPr>
          <w:rFonts w:ascii="Comic Sans MS" w:hAnsi="Comic Sans MS"/>
        </w:rPr>
        <w:t>est égale</w:t>
      </w:r>
      <w:r w:rsidR="003009D1">
        <w:rPr>
          <w:rFonts w:ascii="Comic Sans MS" w:hAnsi="Comic Sans MS"/>
        </w:rPr>
        <w:t xml:space="preserve"> à </w:t>
      </w:r>
      <w:r w:rsidR="005465FB">
        <w:rPr>
          <w:rFonts w:ascii="Comic Sans MS" w:hAnsi="Comic Sans MS"/>
        </w:rPr>
        <w:t>la différence des fréquences</w:t>
      </w:r>
      <w:r w:rsidR="003009D1">
        <w:rPr>
          <w:rFonts w:ascii="Comic Sans MS" w:hAnsi="Comic Sans MS"/>
        </w:rPr>
        <w:t xml:space="preserve"> des deux fonctions y et z</w:t>
      </w:r>
      <w:r w:rsidR="005465FB">
        <w:rPr>
          <w:rFonts w:ascii="Comic Sans MS" w:hAnsi="Comic Sans MS"/>
        </w:rPr>
        <w:t>.</w:t>
      </w:r>
    </w:p>
    <w:p w:rsidR="005465FB" w:rsidRPr="007C26A9" w:rsidRDefault="005465FB" w:rsidP="003009D1">
      <w:pPr>
        <w:jc w:val="both"/>
        <w:rPr>
          <w:rFonts w:ascii="Comic Sans MS" w:hAnsi="Comic Sans MS"/>
          <w:b/>
          <w:u w:val="single"/>
        </w:rPr>
      </w:pPr>
      <w:r w:rsidRPr="007C26A9">
        <w:rPr>
          <w:rFonts w:ascii="Comic Sans MS" w:hAnsi="Comic Sans MS"/>
          <w:b/>
          <w:u w:val="single"/>
        </w:rPr>
        <w:t>Application à l’effet Doppler</w:t>
      </w:r>
    </w:p>
    <w:p w:rsidR="00AA7495" w:rsidRDefault="005465FB" w:rsidP="003009D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On place, l’un en face de l’autre un émetteur et un récepteur d’ultrasons ; l’émetteur est alimenté par un GBF réglé à 40kHz, signal sinusoïdal, niveau moyen. </w:t>
      </w:r>
      <w:r w:rsidR="00272937">
        <w:rPr>
          <w:rFonts w:ascii="Comic Sans MS" w:hAnsi="Comic Sans MS"/>
        </w:rPr>
        <w:t>On peut vé</w:t>
      </w:r>
      <w:r>
        <w:rPr>
          <w:rFonts w:ascii="Comic Sans MS" w:hAnsi="Comic Sans MS"/>
        </w:rPr>
        <w:t xml:space="preserve">rifier à l’oscilloscope </w:t>
      </w:r>
      <w:r w:rsidR="00E61C68">
        <w:rPr>
          <w:rFonts w:ascii="Comic Sans MS" w:hAnsi="Comic Sans MS"/>
        </w:rPr>
        <w:t xml:space="preserve">numérique, </w:t>
      </w:r>
      <w:r>
        <w:rPr>
          <w:rFonts w:ascii="Comic Sans MS" w:hAnsi="Comic Sans MS"/>
        </w:rPr>
        <w:t>l’existence des deux signaux.</w:t>
      </w:r>
    </w:p>
    <w:p w:rsidR="00B645E5" w:rsidRDefault="00B645E5" w:rsidP="003009D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Pour effectuer la somme des deux signaux, on utilise un mont</w:t>
      </w:r>
      <w:r w:rsidR="00272937">
        <w:rPr>
          <w:rFonts w:ascii="Comic Sans MS" w:hAnsi="Comic Sans MS"/>
        </w:rPr>
        <w:t xml:space="preserve">age à amplificateur opérationnel </w:t>
      </w:r>
      <w:proofErr w:type="spellStart"/>
      <w:r w:rsidR="00272937">
        <w:rPr>
          <w:rFonts w:ascii="Comic Sans MS" w:hAnsi="Comic Sans MS"/>
        </w:rPr>
        <w:t>précâblé</w:t>
      </w:r>
      <w:proofErr w:type="spellEnd"/>
      <w:r>
        <w:rPr>
          <w:rFonts w:ascii="Comic Sans MS" w:hAnsi="Comic Sans MS"/>
        </w:rPr>
        <w:t xml:space="preserve"> (voir fiche  annexe). On relie</w:t>
      </w:r>
      <w:r w:rsidR="00181A69">
        <w:rPr>
          <w:rFonts w:ascii="Comic Sans MS" w:hAnsi="Comic Sans MS"/>
        </w:rPr>
        <w:t xml:space="preserve"> émetteur et récepteur</w:t>
      </w:r>
      <w:r>
        <w:rPr>
          <w:rFonts w:ascii="Comic Sans MS" w:hAnsi="Comic Sans MS"/>
        </w:rPr>
        <w:t xml:space="preserve"> aux </w:t>
      </w:r>
      <w:r w:rsidR="00E61C68">
        <w:rPr>
          <w:rFonts w:ascii="Comic Sans MS" w:hAnsi="Comic Sans MS"/>
        </w:rPr>
        <w:t>deux bornes d’</w:t>
      </w:r>
      <w:r>
        <w:rPr>
          <w:rFonts w:ascii="Comic Sans MS" w:hAnsi="Comic Sans MS"/>
        </w:rPr>
        <w:t xml:space="preserve">entrée </w:t>
      </w:r>
      <w:r w:rsidR="00181A69">
        <w:rPr>
          <w:rFonts w:ascii="Comic Sans MS" w:hAnsi="Comic Sans MS"/>
        </w:rPr>
        <w:t>et à la masse</w:t>
      </w:r>
      <w:r>
        <w:rPr>
          <w:rFonts w:ascii="Comic Sans MS" w:hAnsi="Comic Sans MS"/>
        </w:rPr>
        <w:t xml:space="preserve"> et on observe le signal de sortie (borne S et masse) sur l’oscilloscope</w:t>
      </w:r>
      <w:r w:rsidR="005C2672">
        <w:rPr>
          <w:rFonts w:ascii="Comic Sans MS" w:hAnsi="Comic Sans MS"/>
        </w:rPr>
        <w:t> ; régler au besoin la sensibilité verticale de la voie 1 utilisée</w:t>
      </w:r>
      <w:r>
        <w:rPr>
          <w:rFonts w:ascii="Comic Sans MS" w:hAnsi="Comic Sans MS"/>
        </w:rPr>
        <w:t xml:space="preserve">. En absence de mouvement, on </w:t>
      </w:r>
      <w:r w:rsidR="005C2672">
        <w:rPr>
          <w:rFonts w:ascii="Comic Sans MS" w:hAnsi="Comic Sans MS"/>
        </w:rPr>
        <w:t>retrouv</w:t>
      </w:r>
      <w:r>
        <w:rPr>
          <w:rFonts w:ascii="Comic Sans MS" w:hAnsi="Comic Sans MS"/>
        </w:rPr>
        <w:t>e un signal périodique de fréquence 40kHz.</w:t>
      </w:r>
    </w:p>
    <w:p w:rsidR="005124D0" w:rsidRDefault="00734C89" w:rsidP="003009D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Régler le balayage sur 2</w:t>
      </w:r>
      <w:r w:rsidR="005C2672">
        <w:rPr>
          <w:rFonts w:ascii="Comic Sans MS" w:hAnsi="Comic Sans MS"/>
        </w:rPr>
        <w:t xml:space="preserve"> ms/</w:t>
      </w:r>
      <w:proofErr w:type="spellStart"/>
      <w:r w:rsidR="005C2672">
        <w:rPr>
          <w:rFonts w:ascii="Comic Sans MS" w:hAnsi="Comic Sans MS"/>
        </w:rPr>
        <w:t>div</w:t>
      </w:r>
      <w:proofErr w:type="spellEnd"/>
      <w:r w:rsidR="005C2672">
        <w:rPr>
          <w:rFonts w:ascii="Comic Sans MS" w:hAnsi="Comic Sans MS"/>
        </w:rPr>
        <w:t>, r</w:t>
      </w:r>
      <w:r w:rsidR="005124D0">
        <w:rPr>
          <w:rFonts w:ascii="Comic Sans MS" w:hAnsi="Comic Sans MS"/>
        </w:rPr>
        <w:t>eculer alors vivement le récepteur en le conservant dans l’axe de l’émetteur</w:t>
      </w:r>
      <w:r w:rsidR="005C2672">
        <w:rPr>
          <w:rFonts w:ascii="Comic Sans MS" w:hAnsi="Comic Sans MS"/>
        </w:rPr>
        <w:t xml:space="preserve"> et appuyer sur le bouton « stop » de l’oscilloscope pendant le mouvement. Si le phénomène de battement n’est pas observable ou peu exploitable recommencer l’enregistrement.</w:t>
      </w:r>
    </w:p>
    <w:p w:rsidR="005C2672" w:rsidRPr="007C26A9" w:rsidRDefault="005C2672" w:rsidP="003009D1">
      <w:pPr>
        <w:jc w:val="both"/>
        <w:rPr>
          <w:rFonts w:ascii="Comic Sans MS" w:hAnsi="Comic Sans MS"/>
          <w:b/>
          <w:u w:val="single"/>
        </w:rPr>
      </w:pPr>
      <w:r w:rsidRPr="007C26A9">
        <w:rPr>
          <w:rFonts w:ascii="Comic Sans MS" w:hAnsi="Comic Sans MS"/>
          <w:b/>
          <w:u w:val="single"/>
        </w:rPr>
        <w:t>Exploitation</w:t>
      </w:r>
    </w:p>
    <w:p w:rsidR="005C2672" w:rsidRDefault="00E61C68" w:rsidP="003009D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On d</w:t>
      </w:r>
      <w:r w:rsidR="005C2672">
        <w:rPr>
          <w:rFonts w:ascii="Comic Sans MS" w:hAnsi="Comic Sans MS"/>
        </w:rPr>
        <w:t>étermine la période puis la fréquence des battements </w:t>
      </w:r>
      <w:r>
        <w:rPr>
          <w:rFonts w:ascii="Comic Sans MS" w:hAnsi="Comic Sans MS"/>
        </w:rPr>
        <w:t>et</w:t>
      </w:r>
      <w:r w:rsidR="005C2672">
        <w:rPr>
          <w:rFonts w:ascii="Comic Sans MS" w:hAnsi="Comic Sans MS"/>
        </w:rPr>
        <w:t xml:space="preserve"> en appliquant la relation </w:t>
      </w:r>
      <w:r>
        <w:rPr>
          <w:rFonts w:ascii="Comic Sans MS" w:hAnsi="Comic Sans MS"/>
        </w:rPr>
        <w:t>« Doppler »</w:t>
      </w:r>
      <w:r w:rsidR="005C2672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on </w:t>
      </w:r>
      <w:r w:rsidR="005C2672">
        <w:rPr>
          <w:rFonts w:ascii="Comic Sans MS" w:hAnsi="Comic Sans MS"/>
        </w:rPr>
        <w:t>calcule la vit</w:t>
      </w:r>
      <w:r>
        <w:rPr>
          <w:rFonts w:ascii="Comic Sans MS" w:hAnsi="Comic Sans MS"/>
        </w:rPr>
        <w:t>esse de déplacement de la main. (</w:t>
      </w:r>
      <w:proofErr w:type="gramStart"/>
      <w:r w:rsidR="005C2672">
        <w:rPr>
          <w:rFonts w:ascii="Comic Sans MS" w:hAnsi="Comic Sans MS"/>
        </w:rPr>
        <w:t>célérité</w:t>
      </w:r>
      <w:proofErr w:type="gramEnd"/>
      <w:r w:rsidR="005C2672">
        <w:rPr>
          <w:rFonts w:ascii="Comic Sans MS" w:hAnsi="Comic Sans MS"/>
        </w:rPr>
        <w:t xml:space="preserve"> du son dans l’air 340 </w:t>
      </w:r>
      <w:proofErr w:type="spellStart"/>
      <w:r w:rsidR="005C2672">
        <w:rPr>
          <w:rFonts w:ascii="Comic Sans MS" w:hAnsi="Comic Sans MS"/>
        </w:rPr>
        <w:t>m.s</w:t>
      </w:r>
      <w:proofErr w:type="spellEnd"/>
      <w:r w:rsidR="005C2672">
        <w:rPr>
          <w:rFonts w:ascii="Comic Sans MS" w:hAnsi="Comic Sans MS"/>
          <w:vertAlign w:val="superscript"/>
        </w:rPr>
        <w:t>-1</w:t>
      </w:r>
      <w:r>
        <w:rPr>
          <w:rFonts w:ascii="Comic Sans MS" w:hAnsi="Comic Sans MS"/>
        </w:rPr>
        <w:t>)</w:t>
      </w:r>
    </w:p>
    <w:p w:rsidR="00D533DB" w:rsidRPr="002A21C9" w:rsidRDefault="00E61C68" w:rsidP="000E7040">
      <w:pPr>
        <w:jc w:val="both"/>
        <w:rPr>
          <w:rFonts w:cs="Arial"/>
        </w:rPr>
      </w:pPr>
      <w:r>
        <w:rPr>
          <w:rFonts w:ascii="Comic Sans MS" w:hAnsi="Comic Sans MS"/>
        </w:rPr>
        <w:t>On peut alors e</w:t>
      </w:r>
      <w:r w:rsidR="00734C89">
        <w:rPr>
          <w:rFonts w:ascii="Comic Sans MS" w:hAnsi="Comic Sans MS"/>
        </w:rPr>
        <w:t>stimer</w:t>
      </w:r>
      <w:r w:rsidR="00057D3A">
        <w:rPr>
          <w:rFonts w:ascii="Comic Sans MS" w:hAnsi="Comic Sans MS"/>
        </w:rPr>
        <w:t xml:space="preserve"> si résultat trouvé</w:t>
      </w:r>
      <w:r w:rsidR="00734C89">
        <w:rPr>
          <w:rFonts w:ascii="Comic Sans MS" w:hAnsi="Comic Sans MS"/>
        </w:rPr>
        <w:t xml:space="preserve"> est compatible avec l’ordre de grandeur</w:t>
      </w:r>
      <w:r w:rsidR="00743176">
        <w:rPr>
          <w:rFonts w:ascii="Comic Sans MS" w:hAnsi="Comic Sans MS"/>
        </w:rPr>
        <w:t xml:space="preserve"> de la vi</w:t>
      </w:r>
      <w:r>
        <w:rPr>
          <w:rFonts w:ascii="Comic Sans MS" w:hAnsi="Comic Sans MS"/>
        </w:rPr>
        <w:t>tesse de déplacement de la main, puis p</w:t>
      </w:r>
      <w:r w:rsidR="003009D1">
        <w:rPr>
          <w:rFonts w:ascii="Comic Sans MS" w:hAnsi="Comic Sans MS"/>
        </w:rPr>
        <w:t>roposer un protocole permettant une mesure de cette vitesse</w:t>
      </w:r>
      <w:r>
        <w:rPr>
          <w:rFonts w:ascii="Comic Sans MS" w:hAnsi="Comic Sans MS"/>
        </w:rPr>
        <w:t xml:space="preserve"> (vidéo par ex.)</w:t>
      </w:r>
      <w:r w:rsidR="003009D1">
        <w:rPr>
          <w:rFonts w:ascii="Comic Sans MS" w:hAnsi="Comic Sans MS"/>
        </w:rPr>
        <w:t>.</w:t>
      </w:r>
    </w:p>
    <w:tbl>
      <w:tblPr>
        <w:tblpPr w:leftFromText="141" w:rightFromText="141" w:vertAnchor="text" w:horzAnchor="margin" w:tblpY="92"/>
        <w:tblW w:w="10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7"/>
        <w:gridCol w:w="6563"/>
        <w:gridCol w:w="713"/>
        <w:gridCol w:w="856"/>
        <w:gridCol w:w="713"/>
      </w:tblGrid>
      <w:tr w:rsidR="00D533DB" w:rsidRPr="000E7040" w:rsidTr="00D533DB">
        <w:trPr>
          <w:trHeight w:val="214"/>
        </w:trPr>
        <w:tc>
          <w:tcPr>
            <w:tcW w:w="2107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Domaines de compétences évalués</w:t>
            </w:r>
          </w:p>
        </w:tc>
        <w:tc>
          <w:tcPr>
            <w:tcW w:w="656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1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856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ECA</w:t>
            </w:r>
          </w:p>
        </w:tc>
        <w:tc>
          <w:tcPr>
            <w:tcW w:w="71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NA</w:t>
            </w:r>
          </w:p>
        </w:tc>
      </w:tr>
      <w:tr w:rsidR="00D533DB" w:rsidRPr="000E7040" w:rsidTr="00D533DB">
        <w:trPr>
          <w:trHeight w:val="571"/>
        </w:trPr>
        <w:tc>
          <w:tcPr>
            <w:tcW w:w="2107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Réaliser</w:t>
            </w:r>
          </w:p>
        </w:tc>
        <w:tc>
          <w:tcPr>
            <w:tcW w:w="656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- Suivre un protocole</w:t>
            </w:r>
          </w:p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- Organiser son poste de travail</w:t>
            </w:r>
          </w:p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- Utiliser le matériel de manière adapté</w:t>
            </w:r>
          </w:p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- Effectuer un calcul simple</w:t>
            </w:r>
            <w:r w:rsidR="000E7040">
              <w:rPr>
                <w:rFonts w:cs="Arial"/>
                <w:sz w:val="18"/>
                <w:szCs w:val="18"/>
              </w:rPr>
              <w:t>, appliquer une formule</w:t>
            </w:r>
          </w:p>
        </w:tc>
        <w:tc>
          <w:tcPr>
            <w:tcW w:w="71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6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1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D533DB" w:rsidRPr="000E7040" w:rsidTr="00D533DB">
        <w:trPr>
          <w:trHeight w:val="191"/>
        </w:trPr>
        <w:tc>
          <w:tcPr>
            <w:tcW w:w="2107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S’approprier</w:t>
            </w:r>
          </w:p>
        </w:tc>
        <w:tc>
          <w:tcPr>
            <w:tcW w:w="656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 xml:space="preserve">- Rechercher, </w:t>
            </w:r>
            <w:r w:rsidR="000E7040">
              <w:rPr>
                <w:rFonts w:cs="Arial"/>
                <w:sz w:val="18"/>
                <w:szCs w:val="18"/>
              </w:rPr>
              <w:t>extraire de l’information pour effectuer un montage</w:t>
            </w:r>
          </w:p>
        </w:tc>
        <w:tc>
          <w:tcPr>
            <w:tcW w:w="71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6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1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D533DB" w:rsidRPr="000E7040" w:rsidTr="00D533DB">
        <w:trPr>
          <w:trHeight w:val="189"/>
        </w:trPr>
        <w:tc>
          <w:tcPr>
            <w:tcW w:w="2107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Valider</w:t>
            </w:r>
          </w:p>
        </w:tc>
        <w:tc>
          <w:tcPr>
            <w:tcW w:w="656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- Exploiter et interpréter des observations et des mesures</w:t>
            </w:r>
          </w:p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- Analyser des résultats de façon critique</w:t>
            </w:r>
          </w:p>
        </w:tc>
        <w:tc>
          <w:tcPr>
            <w:tcW w:w="71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6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1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D533DB" w:rsidRPr="000E7040" w:rsidTr="000E7040">
        <w:trPr>
          <w:trHeight w:val="311"/>
        </w:trPr>
        <w:tc>
          <w:tcPr>
            <w:tcW w:w="2107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 xml:space="preserve">Analyser </w:t>
            </w:r>
          </w:p>
        </w:tc>
        <w:tc>
          <w:tcPr>
            <w:tcW w:w="6563" w:type="dxa"/>
          </w:tcPr>
          <w:p w:rsidR="00D533DB" w:rsidRPr="000E7040" w:rsidRDefault="00D533DB" w:rsidP="000E7040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uppressAutoHyphens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 xml:space="preserve">Proposer </w:t>
            </w:r>
            <w:r w:rsidR="00181A69">
              <w:rPr>
                <w:rFonts w:cs="Arial"/>
                <w:sz w:val="18"/>
                <w:szCs w:val="18"/>
              </w:rPr>
              <w:t>une stratégie pour répondre à une</w:t>
            </w:r>
            <w:r w:rsidRPr="000E7040">
              <w:rPr>
                <w:rFonts w:cs="Arial"/>
                <w:sz w:val="18"/>
                <w:szCs w:val="18"/>
              </w:rPr>
              <w:t xml:space="preserve"> problématique</w:t>
            </w:r>
          </w:p>
          <w:p w:rsidR="00D533DB" w:rsidRPr="000E7040" w:rsidRDefault="00D533DB" w:rsidP="000E7040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uppressAutoHyphens w:val="0"/>
              <w:spacing w:after="0" w:line="240" w:lineRule="auto"/>
              <w:ind w:left="222" w:hanging="222"/>
              <w:rPr>
                <w:rFonts w:cs="Arial"/>
                <w:sz w:val="18"/>
                <w:szCs w:val="18"/>
              </w:rPr>
            </w:pPr>
            <w:r w:rsidRPr="000E7040">
              <w:rPr>
                <w:rFonts w:cs="Arial"/>
                <w:sz w:val="18"/>
                <w:szCs w:val="18"/>
              </w:rPr>
              <w:t>C</w:t>
            </w:r>
            <w:r w:rsidR="000E7040">
              <w:rPr>
                <w:rFonts w:cs="Arial"/>
                <w:sz w:val="18"/>
                <w:szCs w:val="18"/>
              </w:rPr>
              <w:t xml:space="preserve">hoisir, concevoir </w:t>
            </w:r>
            <w:r w:rsidRPr="000E7040">
              <w:rPr>
                <w:rFonts w:cs="Arial"/>
                <w:sz w:val="18"/>
                <w:szCs w:val="18"/>
              </w:rPr>
              <w:t>un protocole / dispositif expérimental</w:t>
            </w:r>
          </w:p>
        </w:tc>
        <w:tc>
          <w:tcPr>
            <w:tcW w:w="71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56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13" w:type="dxa"/>
          </w:tcPr>
          <w:p w:rsidR="00D533DB" w:rsidRPr="000E7040" w:rsidRDefault="00D533DB" w:rsidP="000E704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:rsidR="00D533DB" w:rsidRPr="000E7040" w:rsidRDefault="00D533DB" w:rsidP="000E7040">
      <w:pPr>
        <w:spacing w:after="0"/>
        <w:rPr>
          <w:rFonts w:cs="Arial"/>
          <w:sz w:val="18"/>
          <w:szCs w:val="18"/>
        </w:rPr>
      </w:pPr>
    </w:p>
    <w:p w:rsidR="00743176" w:rsidRPr="00743176" w:rsidRDefault="003306B4" w:rsidP="0074317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Fiche</w:t>
      </w:r>
      <w:r w:rsidR="00743176" w:rsidRPr="00743176">
        <w:rPr>
          <w:rFonts w:ascii="Comic Sans MS" w:hAnsi="Comic Sans MS"/>
          <w:b/>
          <w:sz w:val="28"/>
          <w:szCs w:val="28"/>
        </w:rPr>
        <w:t xml:space="preserve"> d’utilisation de l’amplificateur opérationnel (AO)</w:t>
      </w:r>
    </w:p>
    <w:p w:rsidR="00743176" w:rsidRDefault="00743176" w:rsidP="00743176">
      <w:pPr>
        <w:rPr>
          <w:b/>
          <w:i/>
          <w:u w:val="single"/>
        </w:rPr>
      </w:pPr>
    </w:p>
    <w:p w:rsidR="00743176" w:rsidRPr="00743176" w:rsidRDefault="00743176" w:rsidP="00743176">
      <w:pPr>
        <w:jc w:val="both"/>
        <w:rPr>
          <w:rFonts w:ascii="Comic Sans MS" w:hAnsi="Comic Sans MS"/>
        </w:rPr>
      </w:pPr>
      <w:r w:rsidRPr="00743176">
        <w:rPr>
          <w:rFonts w:ascii="Comic Sans MS" w:hAnsi="Comic Sans MS"/>
        </w:rPr>
        <w:t xml:space="preserve">L’amplificateur opérationnel (AO) TL081 est un composant électronique destiné </w:t>
      </w:r>
      <w:r w:rsidR="003306B4">
        <w:rPr>
          <w:rFonts w:ascii="Comic Sans MS" w:hAnsi="Comic Sans MS"/>
        </w:rPr>
        <w:t xml:space="preserve">entre autres </w:t>
      </w:r>
      <w:r w:rsidRPr="00743176">
        <w:rPr>
          <w:rFonts w:ascii="Comic Sans MS" w:hAnsi="Comic Sans MS"/>
        </w:rPr>
        <w:t xml:space="preserve">à </w:t>
      </w:r>
      <w:r w:rsidR="00E61C68">
        <w:rPr>
          <w:rFonts w:ascii="Comic Sans MS" w:hAnsi="Comic Sans MS"/>
        </w:rPr>
        <w:t xml:space="preserve">comparer des tensions ou à </w:t>
      </w:r>
      <w:r w:rsidRPr="00743176">
        <w:rPr>
          <w:rFonts w:ascii="Comic Sans MS" w:hAnsi="Comic Sans MS"/>
        </w:rPr>
        <w:t xml:space="preserve">amplifier </w:t>
      </w:r>
      <w:r w:rsidR="00E61C68">
        <w:rPr>
          <w:rFonts w:ascii="Comic Sans MS" w:hAnsi="Comic Sans MS"/>
        </w:rPr>
        <w:t>une tension électrique</w:t>
      </w:r>
      <w:r w:rsidRPr="00743176">
        <w:rPr>
          <w:rFonts w:ascii="Comic Sans MS" w:hAnsi="Comic Sans MS"/>
        </w:rPr>
        <w:t xml:space="preserve">. Il </w:t>
      </w:r>
      <w:r w:rsidR="00E61C68">
        <w:rPr>
          <w:rFonts w:ascii="Comic Sans MS" w:hAnsi="Comic Sans MS"/>
        </w:rPr>
        <w:t>permet également  d’</w:t>
      </w:r>
      <w:r w:rsidRPr="00743176">
        <w:rPr>
          <w:rFonts w:ascii="Comic Sans MS" w:hAnsi="Comic Sans MS"/>
        </w:rPr>
        <w:t>effectuer des opérations mathématiques</w:t>
      </w:r>
      <w:r w:rsidR="00E61C68">
        <w:rPr>
          <w:rFonts w:ascii="Comic Sans MS" w:hAnsi="Comic Sans MS"/>
        </w:rPr>
        <w:t xml:space="preserve"> telles que</w:t>
      </w:r>
      <w:r w:rsidRPr="00743176">
        <w:rPr>
          <w:rFonts w:ascii="Comic Sans MS" w:hAnsi="Comic Sans MS"/>
        </w:rPr>
        <w:t xml:space="preserve"> somme, multiplication, dérivation, intégration, etc.</w:t>
      </w:r>
    </w:p>
    <w:p w:rsidR="00743176" w:rsidRDefault="00743176" w:rsidP="00743176"/>
    <w:p w:rsidR="00161CFB" w:rsidRPr="003009D1" w:rsidRDefault="00161CFB" w:rsidP="00743176">
      <w:pPr>
        <w:rPr>
          <w:rFonts w:ascii="Comic Sans MS" w:hAnsi="Comic Sans MS"/>
          <w:sz w:val="28"/>
          <w:szCs w:val="28"/>
        </w:rPr>
      </w:pPr>
      <w:r w:rsidRPr="003009D1">
        <w:rPr>
          <w:rFonts w:ascii="Comic Sans MS" w:hAnsi="Comic Sans MS"/>
          <w:sz w:val="28"/>
          <w:szCs w:val="28"/>
          <w:u w:val="single"/>
        </w:rPr>
        <w:t xml:space="preserve">Utilisation en montage </w:t>
      </w:r>
      <w:proofErr w:type="spellStart"/>
      <w:r w:rsidRPr="003009D1">
        <w:rPr>
          <w:rFonts w:ascii="Comic Sans MS" w:hAnsi="Comic Sans MS"/>
          <w:sz w:val="28"/>
          <w:szCs w:val="28"/>
          <w:u w:val="single"/>
        </w:rPr>
        <w:t>sommateur</w:t>
      </w:r>
      <w:proofErr w:type="spellEnd"/>
    </w:p>
    <w:p w:rsidR="00161CFB" w:rsidRPr="00161CFB" w:rsidRDefault="00161CFB" w:rsidP="00743176">
      <w:pPr>
        <w:rPr>
          <w:rFonts w:ascii="Comic Sans MS" w:hAnsi="Comic Sans MS"/>
          <w:b/>
        </w:rPr>
      </w:pPr>
      <w:r w:rsidRPr="00161CFB">
        <w:rPr>
          <w:rFonts w:ascii="Comic Sans MS" w:hAnsi="Comic Sans MS"/>
        </w:rPr>
        <w:t>Les deux tensions</w:t>
      </w:r>
      <w:r>
        <w:rPr>
          <w:rFonts w:ascii="Comic Sans MS" w:hAnsi="Comic Sans MS"/>
        </w:rPr>
        <w:t xml:space="preserve"> à ajouter sont reliées par l’in</w:t>
      </w:r>
      <w:r w:rsidR="00272937">
        <w:rPr>
          <w:rFonts w:ascii="Comic Sans MS" w:hAnsi="Comic Sans MS"/>
        </w:rPr>
        <w:t xml:space="preserve">termédiaire d’une résistance à une </w:t>
      </w:r>
      <w:r>
        <w:rPr>
          <w:rFonts w:ascii="Comic Sans MS" w:hAnsi="Comic Sans MS"/>
        </w:rPr>
        <w:t>entrée de l’AO ;</w:t>
      </w:r>
      <w:r w:rsidR="00272937">
        <w:rPr>
          <w:rFonts w:ascii="Comic Sans MS" w:hAnsi="Comic Sans MS"/>
        </w:rPr>
        <w:t xml:space="preserve"> l’autre </w:t>
      </w:r>
      <w:r>
        <w:rPr>
          <w:rFonts w:ascii="Comic Sans MS" w:hAnsi="Comic Sans MS"/>
        </w:rPr>
        <w:t xml:space="preserve">entrée  est reliée à la masse ; l’entrée </w:t>
      </w:r>
      <w:r w:rsidR="00272937">
        <w:rPr>
          <w:rFonts w:ascii="Comic Sans MS" w:hAnsi="Comic Sans MS"/>
        </w:rPr>
        <w:t xml:space="preserve"> active</w:t>
      </w:r>
      <w:r>
        <w:rPr>
          <w:rFonts w:ascii="Comic Sans MS" w:hAnsi="Comic Sans MS"/>
        </w:rPr>
        <w:t xml:space="preserve"> est bouclée avec la sortie par une résistance ; le choix des résistances permet d’amplifier au besoin l’une des tensions d’entrée.</w:t>
      </w:r>
    </w:p>
    <w:p w:rsidR="00743176" w:rsidRPr="004D0FF2" w:rsidRDefault="00703E9E" w:rsidP="00743176">
      <w:pPr>
        <w:rPr>
          <w:rFonts w:ascii="Comic Sans MS" w:hAnsi="Comic Sans MS"/>
        </w:rPr>
      </w:pPr>
      <w:r w:rsidRPr="00703E9E">
        <w:rPr>
          <w:rFonts w:ascii="Comic Sans MS" w:hAnsi="Comic Sans MS"/>
          <w:noProof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93.15pt;margin-top:17.5pt;width:0;height:53.2pt;z-index:251675648" o:connectortype="straight"/>
        </w:pict>
      </w:r>
      <w:r w:rsidRPr="00703E9E">
        <w:rPr>
          <w:rFonts w:ascii="Comic Sans MS" w:hAnsi="Comic Sans MS"/>
          <w:noProof/>
          <w:u w:val="single"/>
          <w:lang w:eastAsia="fr-FR"/>
        </w:rPr>
        <w:pict>
          <v:shape id="_x0000_s1049" type="#_x0000_t32" style="position:absolute;margin-left:266.5pt;margin-top:17.5pt;width:26.65pt;height:0;z-index:251674624" o:connectortype="straight"/>
        </w:pict>
      </w:r>
      <w:r w:rsidRPr="00703E9E">
        <w:rPr>
          <w:rFonts w:ascii="Comic Sans MS" w:hAnsi="Comic Sans MS"/>
          <w:noProof/>
          <w:u w:val="single"/>
          <w:lang w:eastAsia="fr-FR"/>
        </w:rPr>
        <w:pict>
          <v:rect id="_x0000_s1048" style="position:absolute;margin-left:242.9pt;margin-top:10.8pt;width:23.6pt;height:11.5pt;z-index:251673600"/>
        </w:pict>
      </w:r>
      <w:r w:rsidRPr="00703E9E">
        <w:rPr>
          <w:rFonts w:ascii="Comic Sans MS" w:hAnsi="Comic Sans MS"/>
          <w:noProof/>
          <w:u w:val="single"/>
          <w:lang w:eastAsia="fr-FR"/>
        </w:rPr>
        <w:pict>
          <v:shape id="_x0000_s1046" type="#_x0000_t32" style="position:absolute;margin-left:219.95pt;margin-top:17.5pt;width:22.95pt;height:0;z-index:251672576" o:connectortype="straight"/>
        </w:pict>
      </w:r>
      <w:r w:rsidRPr="00703E9E">
        <w:rPr>
          <w:rFonts w:ascii="Comic Sans MS" w:hAnsi="Comic Sans MS"/>
          <w:noProof/>
          <w:u w:val="single"/>
          <w:lang w:eastAsia="fr-FR"/>
        </w:rPr>
        <w:pict>
          <v:shape id="_x0000_s1045" type="#_x0000_t32" style="position:absolute;margin-left:219.95pt;margin-top:17.5pt;width:0;height:35.65pt;flip:y;z-index:251671552" o:connectortype="straight"/>
        </w:pict>
      </w:r>
      <w:r w:rsidR="00161CFB">
        <w:rPr>
          <w:rFonts w:ascii="Comic Sans MS" w:hAnsi="Comic Sans MS"/>
        </w:rPr>
        <w:t xml:space="preserve">                                                      </w:t>
      </w:r>
      <w:r w:rsidR="004D0FF2">
        <w:rPr>
          <w:rFonts w:ascii="Comic Sans MS" w:hAnsi="Comic Sans MS"/>
        </w:rPr>
        <w:t xml:space="preserve">                            100k</w:t>
      </w:r>
      <w:r w:rsidR="004D0FF2">
        <w:rPr>
          <w:rFonts w:ascii="Symbol" w:hAnsi="Symbol"/>
        </w:rPr>
        <w:t></w:t>
      </w:r>
      <w:r w:rsidR="004D0FF2">
        <w:rPr>
          <w:rFonts w:ascii="Comic Sans MS" w:hAnsi="Comic Sans MS"/>
        </w:rPr>
        <w:t xml:space="preserve">    </w:t>
      </w:r>
    </w:p>
    <w:p w:rsidR="00C81F0B" w:rsidRPr="00C81F0B" w:rsidRDefault="00703E9E" w:rsidP="00743176">
      <w:pPr>
        <w:rPr>
          <w:rFonts w:ascii="Comic Sans MS" w:hAnsi="Comic Sans MS"/>
        </w:rPr>
      </w:pPr>
      <w:r w:rsidRPr="00703E9E">
        <w:rPr>
          <w:rFonts w:ascii="Comic Sans MS" w:hAnsi="Comic Sans MS"/>
          <w:noProof/>
          <w:u w:val="single"/>
          <w:lang w:eastAsia="fr-FR"/>
        </w:rPr>
        <w:pict>
          <v:shape id="_x0000_s1062" type="#_x0000_t32" style="position:absolute;margin-left:40.2pt;margin-top:16.85pt;width:.05pt;height:38.15pt;flip:y;z-index:251687936" o:connectortype="straight">
            <v:stroke endarrow="block"/>
          </v:shape>
        </w:pict>
      </w:r>
      <w:r w:rsidRPr="00703E9E">
        <w:rPr>
          <w:rFonts w:ascii="Comic Sans MS" w:hAnsi="Comic Sans MS"/>
          <w:noProof/>
          <w:u w:val="single"/>
          <w:lang w:eastAsia="fr-FR"/>
        </w:rPr>
        <w:pict>
          <v:shape id="_x0000_s1060" type="#_x0000_t32" style="position:absolute;margin-left:40.2pt;margin-top:12.05pt;width:67.2pt;height:0;flip:x;z-index:251685888" o:connectortype="straight"/>
        </w:pict>
      </w:r>
      <w:r w:rsidRPr="00703E9E">
        <w:rPr>
          <w:rFonts w:ascii="Comic Sans MS" w:hAnsi="Comic Sans MS"/>
          <w:noProof/>
          <w:u w:val="single"/>
          <w:lang w:eastAsia="fr-FR"/>
        </w:rPr>
        <w:pict>
          <v:rect id="_x0000_s1059" style="position:absolute;margin-left:107.4pt;margin-top:6.75pt;width:24.8pt;height:13.75pt;z-index:251684864"/>
        </w:pict>
      </w:r>
      <w:r w:rsidRPr="00703E9E">
        <w:rPr>
          <w:rFonts w:ascii="Comic Sans MS" w:hAnsi="Comic Sans MS"/>
          <w:noProof/>
          <w:u w:val="single"/>
          <w:lang w:eastAsia="fr-FR"/>
        </w:rPr>
        <w:pict>
          <v:shape id="_x0000_s1058" type="#_x0000_t32" style="position:absolute;margin-left:132.2pt;margin-top:12.05pt;width:87.75pt;height:0;flip:x;z-index:251683840" o:connectortype="straight"/>
        </w:pict>
      </w:r>
      <w:r w:rsidRPr="00703E9E">
        <w:rPr>
          <w:rFonts w:ascii="Comic Sans MS" w:hAnsi="Comic Sans MS"/>
          <w:noProof/>
          <w:u w:val="single"/>
          <w:lang w:eastAsia="fr-FR"/>
        </w:rPr>
        <w:pict>
          <v:shape id="_x0000_s1055" type="#_x0000_t32" style="position:absolute;margin-left:219.95pt;margin-top:25.5pt;width:0;height:13.75pt;flip:y;z-index:251680768" o:connectortype="straight"/>
        </w:pict>
      </w:r>
      <w:r w:rsidRPr="00703E9E">
        <w:rPr>
          <w:rFonts w:ascii="Comic Sans MS" w:hAnsi="Comic Sans MS"/>
          <w:noProof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12.05pt;margin-top:6.75pt;width:89.55pt;height:80.5pt;z-index:251669504;mso-width-relative:margin;mso-height-relative:margin">
            <v:textbox>
              <w:txbxContent>
                <w:p w:rsidR="00C81F0B" w:rsidRDefault="00C81F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45210" cy="983615"/>
                        <wp:effectExtent l="19050" t="0" r="254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210" cy="983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0FF2">
        <w:rPr>
          <w:rFonts w:ascii="Comic Sans MS" w:hAnsi="Comic Sans MS"/>
        </w:rPr>
        <w:t xml:space="preserve">                                          1OOk</w:t>
      </w:r>
      <w:r w:rsidR="004D0FF2">
        <w:rPr>
          <w:rFonts w:ascii="Symbol" w:hAnsi="Symbol"/>
        </w:rPr>
        <w:t></w:t>
      </w:r>
      <w:r w:rsidR="004D0FF2">
        <w:rPr>
          <w:rFonts w:ascii="Comic Sans MS" w:hAnsi="Comic Sans MS"/>
        </w:rPr>
        <w:t xml:space="preserve">        </w:t>
      </w:r>
    </w:p>
    <w:p w:rsidR="00743176" w:rsidRPr="00161CFB" w:rsidRDefault="00703E9E" w:rsidP="00743176">
      <w:pPr>
        <w:rPr>
          <w:rFonts w:ascii="Comic Sans MS" w:hAnsi="Comic Sans MS"/>
        </w:rPr>
      </w:pPr>
      <w:r w:rsidRPr="00703E9E">
        <w:rPr>
          <w:noProof/>
          <w:lang w:eastAsia="fr-FR"/>
        </w:rPr>
        <w:pict>
          <v:shape id="_x0000_s1063" type="#_x0000_t32" style="position:absolute;margin-left:293.15pt;margin-top:15.4pt;width:23.6pt;height:.05pt;z-index:251688960" o:connectortype="straight"/>
        </w:pict>
      </w:r>
      <w:r w:rsidRPr="00703E9E">
        <w:rPr>
          <w:noProof/>
          <w:lang w:eastAsia="fr-FR"/>
        </w:rPr>
        <w:pict>
          <v:shape id="_x0000_s1057" type="#_x0000_t32" style="position:absolute;margin-left:87.45pt;margin-top:15.4pt;width:0;height:28.9pt;flip:y;z-index:251682816" o:connectortype="straight">
            <v:stroke endarrow="block"/>
          </v:shape>
        </w:pict>
      </w:r>
      <w:r w:rsidRPr="00703E9E">
        <w:rPr>
          <w:noProof/>
          <w:lang w:eastAsia="fr-FR"/>
        </w:rPr>
        <w:pict>
          <v:shape id="_x0000_s1054" type="#_x0000_t32" style="position:absolute;margin-left:132.2pt;margin-top:11.6pt;width:87.75pt;height:.6pt;flip:y;z-index:251679744" o:connectortype="straight"/>
        </w:pict>
      </w:r>
      <w:r w:rsidRPr="00703E9E">
        <w:rPr>
          <w:noProof/>
          <w:lang w:eastAsia="fr-FR"/>
        </w:rPr>
        <w:pict>
          <v:rect id="_x0000_s1053" style="position:absolute;margin-left:107.4pt;margin-top:5.55pt;width:24.8pt;height:13.9pt;z-index:251678720"/>
        </w:pict>
      </w:r>
      <w:r w:rsidRPr="00703E9E">
        <w:rPr>
          <w:noProof/>
          <w:lang w:eastAsia="fr-FR"/>
        </w:rPr>
        <w:pict>
          <v:shape id="_x0000_s1052" type="#_x0000_t32" style="position:absolute;margin-left:87.45pt;margin-top:11.6pt;width:19.95pt;height:.6pt;z-index:251677696" o:connectortype="straight"/>
        </w:pict>
      </w:r>
      <w:r w:rsidR="004D0FF2">
        <w:t xml:space="preserve">                                                       </w:t>
      </w:r>
      <w:r w:rsidR="004D0FF2">
        <w:rPr>
          <w:rFonts w:ascii="Comic Sans MS" w:hAnsi="Comic Sans MS"/>
        </w:rPr>
        <w:t>10k</w:t>
      </w:r>
      <w:r w:rsidR="004D0FF2">
        <w:rPr>
          <w:rFonts w:ascii="Symbol" w:hAnsi="Symbol"/>
        </w:rPr>
        <w:t>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Symbol" w:hAnsi="Symbol"/>
        </w:rPr>
        <w:t></w:t>
      </w:r>
      <w:r w:rsidR="00161CFB">
        <w:rPr>
          <w:rFonts w:ascii="Comic Sans MS" w:hAnsi="Comic Sans MS"/>
        </w:rPr>
        <w:t xml:space="preserve">Sortie (vers </w:t>
      </w:r>
      <w:proofErr w:type="spellStart"/>
      <w:r w:rsidR="00161CFB">
        <w:rPr>
          <w:rFonts w:ascii="Comic Sans MS" w:hAnsi="Comic Sans MS"/>
        </w:rPr>
        <w:t>oscillo</w:t>
      </w:r>
      <w:proofErr w:type="spellEnd"/>
      <w:r w:rsidR="00161CFB">
        <w:rPr>
          <w:rFonts w:ascii="Comic Sans MS" w:hAnsi="Comic Sans MS"/>
        </w:rPr>
        <w:t>)</w:t>
      </w:r>
    </w:p>
    <w:p w:rsidR="00743176" w:rsidRPr="004D0FF2" w:rsidRDefault="00703E9E" w:rsidP="004D0FF2">
      <w:pPr>
        <w:tabs>
          <w:tab w:val="left" w:pos="1767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shape id="_x0000_s1061" type="#_x0000_t32" style="position:absolute;margin-left:40.2pt;margin-top:18.9pt;width:.05pt;height:42.5pt;z-index:251686912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shape id="_x0000_s1056" type="#_x0000_t32" style="position:absolute;margin-left:87.45pt;margin-top:26.15pt;width:0;height:35.25pt;z-index:251681792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shape id="_x0000_s1051" type="#_x0000_t32" style="position:absolute;margin-left:219.95pt;margin-top:9.2pt;width:0;height:52.2pt;z-index:251676672" o:connectortype="straight"/>
        </w:pict>
      </w:r>
      <w:proofErr w:type="gramStart"/>
      <w:r w:rsidR="004D0FF2">
        <w:rPr>
          <w:rFonts w:ascii="Comic Sans MS" w:hAnsi="Comic Sans MS"/>
          <w:sz w:val="28"/>
          <w:szCs w:val="28"/>
        </w:rPr>
        <w:t>émetteur</w:t>
      </w:r>
      <w:proofErr w:type="gramEnd"/>
      <w:r w:rsidR="004D0FF2">
        <w:rPr>
          <w:rFonts w:ascii="Comic Sans MS" w:hAnsi="Comic Sans MS"/>
          <w:sz w:val="28"/>
          <w:szCs w:val="28"/>
        </w:rPr>
        <w:tab/>
        <w:t xml:space="preserve"> récepteur</w:t>
      </w:r>
    </w:p>
    <w:p w:rsidR="00743176" w:rsidRPr="00C81F0B" w:rsidRDefault="00703E9E" w:rsidP="00C81F0B">
      <w:pPr>
        <w:tabs>
          <w:tab w:val="left" w:pos="7769"/>
        </w:tabs>
        <w:rPr>
          <w:rFonts w:ascii="Comic Sans MS" w:hAnsi="Comic Sans MS"/>
        </w:rPr>
      </w:pPr>
      <w:r w:rsidRPr="00703E9E">
        <w:rPr>
          <w:rFonts w:ascii="Comic Sans MS" w:hAnsi="Comic Sans MS"/>
          <w:noProof/>
          <w:sz w:val="28"/>
          <w:szCs w:val="28"/>
          <w:lang w:eastAsia="fr-FR"/>
        </w:rPr>
        <w:pict>
          <v:shape id="_x0000_s1044" type="#_x0000_t32" style="position:absolute;margin-left:23.3pt;margin-top:28.95pt;width:350.9pt;height:.05pt;z-index:251670528" o:connectortype="straight" strokeweight="2.25pt"/>
        </w:pict>
      </w:r>
      <w:r w:rsidR="00C81F0B">
        <w:rPr>
          <w:rFonts w:ascii="Comic Sans MS" w:hAnsi="Comic Sans MS"/>
          <w:sz w:val="28"/>
          <w:szCs w:val="28"/>
        </w:rPr>
        <w:tab/>
      </w:r>
      <w:r w:rsidR="00C81F0B">
        <w:rPr>
          <w:rFonts w:ascii="Comic Sans MS" w:hAnsi="Comic Sans MS"/>
        </w:rPr>
        <w:t>Ligne de masse</w:t>
      </w:r>
    </w:p>
    <w:sectPr w:rsidR="00743176" w:rsidRPr="00C81F0B" w:rsidSect="00FB0C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7DD"/>
    <w:multiLevelType w:val="hybridMultilevel"/>
    <w:tmpl w:val="B7AA88CE"/>
    <w:lvl w:ilvl="0" w:tplc="4BFC5D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B0C08"/>
    <w:rsid w:val="0000165E"/>
    <w:rsid w:val="00057D3A"/>
    <w:rsid w:val="000E7040"/>
    <w:rsid w:val="00161CFB"/>
    <w:rsid w:val="00181A69"/>
    <w:rsid w:val="00272937"/>
    <w:rsid w:val="003009D1"/>
    <w:rsid w:val="003306B4"/>
    <w:rsid w:val="004D0FF2"/>
    <w:rsid w:val="005124D0"/>
    <w:rsid w:val="005465FB"/>
    <w:rsid w:val="005C2672"/>
    <w:rsid w:val="006E6063"/>
    <w:rsid w:val="00703E9E"/>
    <w:rsid w:val="00734C89"/>
    <w:rsid w:val="00743176"/>
    <w:rsid w:val="007769CD"/>
    <w:rsid w:val="007C26A9"/>
    <w:rsid w:val="00AA7495"/>
    <w:rsid w:val="00B028D1"/>
    <w:rsid w:val="00B645E5"/>
    <w:rsid w:val="00C81F0B"/>
    <w:rsid w:val="00D236DE"/>
    <w:rsid w:val="00D533DB"/>
    <w:rsid w:val="00D851B0"/>
    <w:rsid w:val="00E61C68"/>
    <w:rsid w:val="00EE21B8"/>
    <w:rsid w:val="00EE5AFB"/>
    <w:rsid w:val="00F8770E"/>
    <w:rsid w:val="00FB0C08"/>
    <w:rsid w:val="00FE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6" type="connector" idref="#_x0000_s1050"/>
        <o:r id="V:Rule27" type="connector" idref="#_x0000_s1060"/>
        <o:r id="V:Rule30" type="connector" idref="#_x0000_s1056"/>
        <o:r id="V:Rule33" type="connector" idref="#_x0000_s1061"/>
        <o:r id="V:Rule34" type="connector" idref="#_x0000_s1054"/>
        <o:r id="V:Rule36" type="connector" idref="#_x0000_s1045"/>
        <o:r id="V:Rule37" type="connector" idref="#_x0000_s1055"/>
        <o:r id="V:Rule38" type="connector" idref="#_x0000_s1063"/>
        <o:r id="V:Rule39" type="connector" idref="#_x0000_s1052"/>
        <o:r id="V:Rule40" type="connector" idref="#_x0000_s1058"/>
        <o:r id="V:Rule41" type="connector" idref="#_x0000_s1049"/>
        <o:r id="V:Rule43" type="connector" idref="#_x0000_s1057"/>
        <o:r id="V:Rule44" type="connector" idref="#_x0000_s1044"/>
        <o:r id="V:Rule45" type="connector" idref="#_x0000_s1046"/>
        <o:r id="V:Rule47" type="connector" idref="#_x0000_s1051"/>
        <o:r id="V:Rule48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CD"/>
    <w:pPr>
      <w:suppressAutoHyphens/>
    </w:pPr>
    <w:rPr>
      <w:rFonts w:ascii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769CD"/>
    <w:rPr>
      <w:b/>
      <w:bCs/>
    </w:rPr>
  </w:style>
  <w:style w:type="paragraph" w:styleId="Paragraphedeliste">
    <w:name w:val="List Paragraph"/>
    <w:basedOn w:val="Normal"/>
    <w:qFormat/>
    <w:rsid w:val="007769CD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F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2</cp:revision>
  <cp:lastPrinted>2012-10-17T07:43:00Z</cp:lastPrinted>
  <dcterms:created xsi:type="dcterms:W3CDTF">2012-11-03T18:03:00Z</dcterms:created>
  <dcterms:modified xsi:type="dcterms:W3CDTF">2012-11-03T18:03:00Z</dcterms:modified>
</cp:coreProperties>
</file>