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70B4A" w:rsidTr="00994370">
        <w:tc>
          <w:tcPr>
            <w:tcW w:w="9212" w:type="dxa"/>
          </w:tcPr>
          <w:p w:rsidR="00070B4A" w:rsidRPr="00124203" w:rsidRDefault="00070B4A" w:rsidP="00994370">
            <w:pPr>
              <w:jc w:val="both"/>
              <w:rPr>
                <w:rFonts w:ascii="Arial" w:hAnsi="Arial" w:cs="Arial"/>
                <w:sz w:val="20"/>
                <w:szCs w:val="20"/>
              </w:rPr>
            </w:pPr>
            <w:r w:rsidRPr="00124203">
              <w:rPr>
                <w:rFonts w:ascii="Arial" w:hAnsi="Arial" w:cs="Arial"/>
                <w:sz w:val="20"/>
                <w:szCs w:val="20"/>
              </w:rPr>
              <w:t>Thème :</w:t>
            </w:r>
            <w:r>
              <w:rPr>
                <w:rFonts w:ascii="Arial" w:hAnsi="Arial" w:cs="Arial"/>
                <w:sz w:val="20"/>
                <w:szCs w:val="20"/>
              </w:rPr>
              <w:t xml:space="preserve"> Agir / </w:t>
            </w:r>
            <w:r w:rsidR="001317DC" w:rsidRPr="005834D0">
              <w:rPr>
                <w:rFonts w:ascii="Arial" w:hAnsi="Arial" w:cs="Arial"/>
                <w:bCs/>
                <w:sz w:val="20"/>
                <w:szCs w:val="20"/>
              </w:rPr>
              <w:t>Économiser les ressources et respecter l’environnement</w:t>
            </w:r>
          </w:p>
          <w:p w:rsidR="00070B4A" w:rsidRPr="00124203" w:rsidRDefault="00070B4A" w:rsidP="00994370">
            <w:pPr>
              <w:jc w:val="both"/>
              <w:rPr>
                <w:rFonts w:ascii="Arial" w:hAnsi="Arial" w:cs="Arial"/>
                <w:sz w:val="20"/>
                <w:szCs w:val="20"/>
              </w:rPr>
            </w:pPr>
          </w:p>
        </w:tc>
      </w:tr>
      <w:tr w:rsidR="00070B4A" w:rsidTr="00994370">
        <w:tc>
          <w:tcPr>
            <w:tcW w:w="9212" w:type="dxa"/>
          </w:tcPr>
          <w:p w:rsidR="00070B4A" w:rsidRDefault="00070B4A" w:rsidP="00994370">
            <w:pPr>
              <w:jc w:val="both"/>
              <w:rPr>
                <w:rFonts w:ascii="Arial" w:hAnsi="Arial" w:cs="Arial"/>
                <w:sz w:val="20"/>
                <w:szCs w:val="20"/>
              </w:rPr>
            </w:pPr>
            <w:r w:rsidRPr="00124203">
              <w:rPr>
                <w:rFonts w:ascii="Arial" w:hAnsi="Arial" w:cs="Arial"/>
                <w:sz w:val="20"/>
                <w:szCs w:val="20"/>
              </w:rPr>
              <w:t>Type de ressources :</w:t>
            </w:r>
            <w:r>
              <w:rPr>
                <w:rFonts w:ascii="Arial" w:hAnsi="Arial" w:cs="Arial"/>
                <w:sz w:val="20"/>
                <w:szCs w:val="20"/>
              </w:rPr>
              <w:t xml:space="preserve"> </w:t>
            </w:r>
          </w:p>
          <w:p w:rsidR="00070B4A" w:rsidRPr="00F633DD" w:rsidRDefault="00070B4A" w:rsidP="00994370">
            <w:pPr>
              <w:rPr>
                <w:rFonts w:ascii="Times New Roman" w:hAnsi="Times New Roman" w:cs="Times New Roman"/>
                <w:i/>
                <w:sz w:val="24"/>
                <w:szCs w:val="24"/>
              </w:rPr>
            </w:pPr>
            <w:r>
              <w:t xml:space="preserve">Comment comparer des matériaux </w:t>
            </w:r>
            <w:hyperlink r:id="rId9" w:history="1">
              <w:r w:rsidRPr="00F633DD">
                <w:rPr>
                  <w:rStyle w:val="Lienhypertexte"/>
                  <w:rFonts w:ascii="Times New Roman" w:hAnsi="Times New Roman" w:cs="Times New Roman"/>
                  <w:i/>
                  <w:sz w:val="24"/>
                  <w:szCs w:val="24"/>
                </w:rPr>
                <w:t>http://www.ddmagazine.com/1118-Comment-comparer-les-materiaux-de-construction.html</w:t>
              </w:r>
            </w:hyperlink>
          </w:p>
          <w:p w:rsidR="00070B4A" w:rsidRPr="003E4CA5" w:rsidRDefault="00070B4A" w:rsidP="00994370">
            <w:pPr>
              <w:rPr>
                <w:rFonts w:ascii="Arial" w:hAnsi="Arial" w:cs="Arial"/>
                <w:i/>
                <w:iCs/>
                <w:sz w:val="20"/>
                <w:szCs w:val="20"/>
              </w:rPr>
            </w:pPr>
            <w:r>
              <w:t xml:space="preserve">Propriétés et performances des matériaux </w:t>
            </w:r>
            <w:hyperlink r:id="rId10" w:history="1">
              <w:r w:rsidRPr="005834D0">
                <w:rPr>
                  <w:rStyle w:val="Lienhypertexte"/>
                  <w:rFonts w:ascii="Times New Roman" w:hAnsi="Times New Roman" w:cs="Times New Roman"/>
                  <w:i/>
                  <w:iCs/>
                </w:rPr>
                <w:t>www.ageden.org/index.php?module=webuploads&amp;func...671</w:t>
              </w:r>
            </w:hyperlink>
          </w:p>
          <w:p w:rsidR="00070B4A" w:rsidRDefault="00070B4A" w:rsidP="00994370">
            <w:r>
              <w:t xml:space="preserve">Amortissement avec MCP </w:t>
            </w:r>
            <w:hyperlink r:id="rId11" w:history="1">
              <w:r w:rsidRPr="00F633DD">
                <w:rPr>
                  <w:rStyle w:val="Lienhypertexte"/>
                  <w:rFonts w:ascii="Times New Roman" w:hAnsi="Times New Roman" w:cs="Times New Roman"/>
                  <w:i/>
                  <w:sz w:val="24"/>
                  <w:szCs w:val="24"/>
                </w:rPr>
                <w:t>http://www.chantier.net/documents/040311ap13.pdf</w:t>
              </w:r>
            </w:hyperlink>
          </w:p>
          <w:p w:rsidR="00070B4A" w:rsidRPr="00124203" w:rsidRDefault="00070B4A" w:rsidP="005834D0">
            <w:pPr>
              <w:jc w:val="both"/>
              <w:rPr>
                <w:rFonts w:ascii="Arial" w:hAnsi="Arial" w:cs="Arial"/>
                <w:sz w:val="20"/>
                <w:szCs w:val="20"/>
              </w:rPr>
            </w:pPr>
            <w:r>
              <w:t>D</w:t>
            </w:r>
            <w:r w:rsidRPr="003E4CA5">
              <w:rPr>
                <w:rFonts w:ascii="Times New Roman" w:hAnsi="Times New Roman" w:cs="Times New Roman"/>
                <w:sz w:val="24"/>
                <w:szCs w:val="24"/>
              </w:rPr>
              <w:t>ocuments de l’ADEME.</w:t>
            </w:r>
          </w:p>
        </w:tc>
      </w:tr>
      <w:tr w:rsidR="00070B4A" w:rsidTr="00994370">
        <w:tc>
          <w:tcPr>
            <w:tcW w:w="9212" w:type="dxa"/>
          </w:tcPr>
          <w:p w:rsidR="00070B4A" w:rsidRDefault="00070B4A" w:rsidP="00994370">
            <w:pPr>
              <w:jc w:val="both"/>
              <w:rPr>
                <w:rFonts w:ascii="Arial" w:hAnsi="Arial" w:cs="Arial"/>
                <w:sz w:val="20"/>
                <w:szCs w:val="20"/>
              </w:rPr>
            </w:pPr>
            <w:r w:rsidRPr="00124203">
              <w:rPr>
                <w:rFonts w:ascii="Arial" w:hAnsi="Arial" w:cs="Arial"/>
                <w:sz w:val="20"/>
                <w:szCs w:val="20"/>
              </w:rPr>
              <w:t>Notions et contenus :</w:t>
            </w:r>
            <w:r>
              <w:rPr>
                <w:rFonts w:ascii="Arial" w:hAnsi="Arial" w:cs="Arial"/>
                <w:sz w:val="20"/>
                <w:szCs w:val="20"/>
              </w:rPr>
              <w:t xml:space="preserve"> -     Economies d’énergie dans le domaine de l’habitat.</w:t>
            </w:r>
          </w:p>
          <w:p w:rsidR="00070B4A" w:rsidRDefault="00070B4A" w:rsidP="00070B4A">
            <w:pPr>
              <w:numPr>
                <w:ilvl w:val="0"/>
                <w:numId w:val="2"/>
              </w:numPr>
              <w:spacing w:after="0" w:line="240" w:lineRule="auto"/>
              <w:jc w:val="both"/>
              <w:rPr>
                <w:rFonts w:ascii="Arial" w:hAnsi="Arial" w:cs="Arial"/>
                <w:sz w:val="20"/>
                <w:szCs w:val="20"/>
              </w:rPr>
            </w:pPr>
            <w:r>
              <w:rPr>
                <w:rFonts w:ascii="Arial" w:hAnsi="Arial" w:cs="Arial"/>
                <w:sz w:val="20"/>
                <w:szCs w:val="20"/>
              </w:rPr>
              <w:t>Transferts d’énergie entre systèmes macroscopiques.</w:t>
            </w:r>
          </w:p>
          <w:p w:rsidR="00070B4A" w:rsidRDefault="00070B4A" w:rsidP="00994370">
            <w:pPr>
              <w:ind w:left="2265"/>
              <w:jc w:val="both"/>
              <w:rPr>
                <w:rFonts w:ascii="Arial" w:hAnsi="Arial" w:cs="Arial"/>
                <w:sz w:val="20"/>
                <w:szCs w:val="20"/>
              </w:rPr>
            </w:pPr>
          </w:p>
          <w:p w:rsidR="00070B4A" w:rsidRPr="00124203" w:rsidRDefault="00070B4A" w:rsidP="00994370">
            <w:pPr>
              <w:jc w:val="both"/>
              <w:rPr>
                <w:rFonts w:ascii="Arial" w:hAnsi="Arial" w:cs="Arial"/>
                <w:sz w:val="20"/>
                <w:szCs w:val="20"/>
              </w:rPr>
            </w:pPr>
          </w:p>
        </w:tc>
      </w:tr>
      <w:tr w:rsidR="00070B4A" w:rsidTr="00994370">
        <w:tc>
          <w:tcPr>
            <w:tcW w:w="9212" w:type="dxa"/>
          </w:tcPr>
          <w:p w:rsidR="00070B4A" w:rsidRDefault="00070B4A" w:rsidP="00994370">
            <w:pPr>
              <w:jc w:val="both"/>
              <w:rPr>
                <w:rFonts w:ascii="Arial" w:hAnsi="Arial" w:cs="Arial"/>
                <w:sz w:val="20"/>
                <w:szCs w:val="20"/>
              </w:rPr>
            </w:pPr>
            <w:r w:rsidRPr="00124203">
              <w:rPr>
                <w:rFonts w:ascii="Arial" w:hAnsi="Arial" w:cs="Arial"/>
                <w:sz w:val="20"/>
                <w:szCs w:val="20"/>
              </w:rPr>
              <w:t>Compétence travaillée ou évaluée :</w:t>
            </w:r>
          </w:p>
          <w:p w:rsidR="00070B4A" w:rsidRDefault="00070B4A" w:rsidP="00070B4A">
            <w:pPr>
              <w:pStyle w:val="NormalWeb"/>
              <w:numPr>
                <w:ilvl w:val="0"/>
                <w:numId w:val="2"/>
              </w:numPr>
              <w:rPr>
                <w:rFonts w:ascii="Arial" w:hAnsi="Arial" w:cs="Arial"/>
                <w:i/>
                <w:sz w:val="20"/>
                <w:szCs w:val="20"/>
              </w:rPr>
            </w:pPr>
            <w:r w:rsidRPr="00800B8A">
              <w:rPr>
                <w:rFonts w:ascii="Arial" w:hAnsi="Arial" w:cs="Arial"/>
                <w:i/>
                <w:sz w:val="20"/>
                <w:szCs w:val="20"/>
              </w:rPr>
              <w:t xml:space="preserve">Faire un bilan dans le domaine </w:t>
            </w:r>
            <w:r>
              <w:rPr>
                <w:rFonts w:ascii="Arial" w:hAnsi="Arial" w:cs="Arial"/>
                <w:i/>
                <w:sz w:val="20"/>
                <w:szCs w:val="20"/>
              </w:rPr>
              <w:t>de l’habitat.</w:t>
            </w:r>
          </w:p>
          <w:p w:rsidR="00070B4A" w:rsidRDefault="00070B4A" w:rsidP="00070B4A">
            <w:pPr>
              <w:pStyle w:val="NormalWeb"/>
              <w:numPr>
                <w:ilvl w:val="0"/>
                <w:numId w:val="2"/>
              </w:numPr>
              <w:rPr>
                <w:rFonts w:ascii="Arial" w:hAnsi="Arial" w:cs="Arial"/>
                <w:i/>
                <w:sz w:val="20"/>
                <w:szCs w:val="20"/>
              </w:rPr>
            </w:pPr>
            <w:r>
              <w:rPr>
                <w:rFonts w:ascii="Arial" w:hAnsi="Arial" w:cs="Arial"/>
                <w:i/>
                <w:sz w:val="20"/>
                <w:szCs w:val="20"/>
              </w:rPr>
              <w:t xml:space="preserve"> Argumenter sur les solutions permettant de réaliser des économies d’énergie.</w:t>
            </w:r>
          </w:p>
          <w:p w:rsidR="00070B4A" w:rsidRDefault="00070B4A" w:rsidP="00070B4A">
            <w:pPr>
              <w:pStyle w:val="NormalWeb"/>
              <w:numPr>
                <w:ilvl w:val="0"/>
                <w:numId w:val="2"/>
              </w:numPr>
              <w:rPr>
                <w:rFonts w:ascii="Arial" w:hAnsi="Arial" w:cs="Arial"/>
                <w:i/>
                <w:sz w:val="20"/>
                <w:szCs w:val="20"/>
              </w:rPr>
            </w:pPr>
            <w:r>
              <w:rPr>
                <w:rFonts w:ascii="Arial" w:hAnsi="Arial" w:cs="Arial"/>
                <w:i/>
                <w:sz w:val="20"/>
                <w:szCs w:val="20"/>
              </w:rPr>
              <w:t>Interpréter les transferts thermiques dans la matière à l’échelle microscopique.</w:t>
            </w:r>
          </w:p>
          <w:p w:rsidR="00070B4A" w:rsidRPr="00124203" w:rsidRDefault="00070B4A" w:rsidP="00994370">
            <w:pPr>
              <w:jc w:val="both"/>
              <w:rPr>
                <w:rFonts w:ascii="Arial" w:hAnsi="Arial" w:cs="Arial"/>
                <w:sz w:val="20"/>
                <w:szCs w:val="20"/>
              </w:rPr>
            </w:pPr>
          </w:p>
        </w:tc>
      </w:tr>
      <w:tr w:rsidR="00070B4A" w:rsidTr="00994370">
        <w:tc>
          <w:tcPr>
            <w:tcW w:w="9212" w:type="dxa"/>
          </w:tcPr>
          <w:p w:rsidR="00070B4A" w:rsidRPr="00124203" w:rsidRDefault="00070B4A" w:rsidP="00994370">
            <w:pPr>
              <w:jc w:val="both"/>
              <w:rPr>
                <w:rFonts w:ascii="Arial" w:hAnsi="Arial" w:cs="Arial"/>
                <w:sz w:val="20"/>
                <w:szCs w:val="20"/>
              </w:rPr>
            </w:pPr>
            <w:r w:rsidRPr="00124203">
              <w:rPr>
                <w:rFonts w:ascii="Arial" w:hAnsi="Arial" w:cs="Arial"/>
                <w:sz w:val="20"/>
                <w:szCs w:val="20"/>
              </w:rPr>
              <w:t>Nature de l’activité :</w:t>
            </w:r>
            <w:r>
              <w:rPr>
                <w:rFonts w:ascii="Arial" w:hAnsi="Arial" w:cs="Arial"/>
                <w:sz w:val="20"/>
                <w:szCs w:val="20"/>
              </w:rPr>
              <w:t xml:space="preserve"> activité documentaire</w:t>
            </w:r>
          </w:p>
          <w:p w:rsidR="00070B4A" w:rsidRPr="00124203" w:rsidRDefault="00070B4A" w:rsidP="00994370">
            <w:pPr>
              <w:jc w:val="both"/>
              <w:rPr>
                <w:rFonts w:ascii="Arial" w:hAnsi="Arial" w:cs="Arial"/>
                <w:sz w:val="20"/>
                <w:szCs w:val="20"/>
              </w:rPr>
            </w:pPr>
          </w:p>
        </w:tc>
      </w:tr>
      <w:tr w:rsidR="00070B4A" w:rsidTr="00994370">
        <w:tc>
          <w:tcPr>
            <w:tcW w:w="9212" w:type="dxa"/>
          </w:tcPr>
          <w:p w:rsidR="00070B4A" w:rsidRDefault="00070B4A" w:rsidP="00994370">
            <w:pPr>
              <w:jc w:val="both"/>
              <w:rPr>
                <w:rFonts w:ascii="Arial" w:hAnsi="Arial" w:cs="Arial"/>
                <w:sz w:val="20"/>
                <w:szCs w:val="20"/>
              </w:rPr>
            </w:pPr>
            <w:r w:rsidRPr="00124203">
              <w:rPr>
                <w:rFonts w:ascii="Arial" w:hAnsi="Arial" w:cs="Arial"/>
                <w:sz w:val="20"/>
                <w:szCs w:val="20"/>
              </w:rPr>
              <w:t>Résumé (en 5 lignes au plus) :</w:t>
            </w:r>
            <w:r>
              <w:rPr>
                <w:rFonts w:ascii="Arial" w:hAnsi="Arial" w:cs="Arial"/>
                <w:sz w:val="20"/>
                <w:szCs w:val="20"/>
              </w:rPr>
              <w:t xml:space="preserve"> </w:t>
            </w:r>
          </w:p>
          <w:p w:rsidR="00070B4A" w:rsidRDefault="00070B4A" w:rsidP="00994370">
            <w:pPr>
              <w:jc w:val="both"/>
              <w:rPr>
                <w:rFonts w:ascii="Arial" w:hAnsi="Arial" w:cs="Arial"/>
                <w:sz w:val="20"/>
                <w:szCs w:val="20"/>
              </w:rPr>
            </w:pPr>
            <w:r>
              <w:rPr>
                <w:rFonts w:ascii="Arial" w:hAnsi="Arial" w:cs="Arial"/>
                <w:sz w:val="20"/>
                <w:szCs w:val="20"/>
              </w:rPr>
              <w:t>L’activité concerne les enjeux énergétiques liés à l’isolation de l’habitat. Elle s’organise en trois parties: une situation déclenchante (diagnostic performance énergétique) ; la présentation de différents isolants (isolation passive) et leurs caractéristiques ; l’amélioration des performances par ajout de matériaux à changement de phase (isolation active).</w:t>
            </w:r>
          </w:p>
          <w:p w:rsidR="00070B4A" w:rsidRPr="00124203" w:rsidRDefault="00070B4A" w:rsidP="00994370">
            <w:pPr>
              <w:jc w:val="both"/>
              <w:rPr>
                <w:rFonts w:ascii="Arial" w:hAnsi="Arial" w:cs="Arial"/>
                <w:sz w:val="20"/>
                <w:szCs w:val="20"/>
              </w:rPr>
            </w:pPr>
          </w:p>
        </w:tc>
      </w:tr>
      <w:tr w:rsidR="00070B4A" w:rsidTr="00994370">
        <w:tc>
          <w:tcPr>
            <w:tcW w:w="9212" w:type="dxa"/>
          </w:tcPr>
          <w:p w:rsidR="00070B4A" w:rsidRPr="00124203" w:rsidRDefault="00070B4A" w:rsidP="00994370">
            <w:pPr>
              <w:jc w:val="both"/>
              <w:rPr>
                <w:rFonts w:ascii="Arial" w:hAnsi="Arial" w:cs="Arial"/>
                <w:sz w:val="20"/>
                <w:szCs w:val="20"/>
              </w:rPr>
            </w:pPr>
            <w:r w:rsidRPr="00124203">
              <w:rPr>
                <w:rFonts w:ascii="Arial" w:hAnsi="Arial" w:cs="Arial"/>
                <w:sz w:val="20"/>
                <w:szCs w:val="20"/>
              </w:rPr>
              <w:t>Mots clefs :</w:t>
            </w:r>
          </w:p>
          <w:p w:rsidR="00070B4A" w:rsidRPr="00124203" w:rsidRDefault="00070B4A" w:rsidP="00994370">
            <w:pPr>
              <w:jc w:val="both"/>
              <w:rPr>
                <w:rFonts w:ascii="Arial" w:hAnsi="Arial" w:cs="Arial"/>
                <w:sz w:val="20"/>
                <w:szCs w:val="20"/>
              </w:rPr>
            </w:pPr>
          </w:p>
        </w:tc>
      </w:tr>
      <w:tr w:rsidR="00070B4A" w:rsidTr="00994370">
        <w:tc>
          <w:tcPr>
            <w:tcW w:w="9212" w:type="dxa"/>
          </w:tcPr>
          <w:p w:rsidR="00070B4A" w:rsidRPr="00124203" w:rsidRDefault="00070B4A" w:rsidP="00994370">
            <w:pPr>
              <w:jc w:val="both"/>
              <w:rPr>
                <w:rFonts w:ascii="Arial" w:hAnsi="Arial" w:cs="Arial"/>
                <w:sz w:val="20"/>
                <w:szCs w:val="20"/>
              </w:rPr>
            </w:pPr>
            <w:r w:rsidRPr="00124203">
              <w:rPr>
                <w:rFonts w:ascii="Arial" w:hAnsi="Arial" w:cs="Arial"/>
                <w:sz w:val="20"/>
                <w:szCs w:val="20"/>
              </w:rPr>
              <w:t>Académie où a été produite la ressource :</w:t>
            </w:r>
            <w:r>
              <w:rPr>
                <w:rFonts w:ascii="Arial" w:hAnsi="Arial" w:cs="Arial"/>
                <w:sz w:val="20"/>
                <w:szCs w:val="20"/>
              </w:rPr>
              <w:t xml:space="preserve"> Nancy - Metz</w:t>
            </w:r>
          </w:p>
          <w:p w:rsidR="00070B4A" w:rsidRPr="00124203" w:rsidRDefault="00070B4A" w:rsidP="00994370">
            <w:pPr>
              <w:jc w:val="both"/>
              <w:rPr>
                <w:rFonts w:ascii="Arial" w:hAnsi="Arial" w:cs="Arial"/>
                <w:sz w:val="20"/>
                <w:szCs w:val="20"/>
              </w:rPr>
            </w:pPr>
          </w:p>
        </w:tc>
      </w:tr>
    </w:tbl>
    <w:p w:rsidR="00070B4A" w:rsidRDefault="00070B4A" w:rsidP="00070B4A">
      <w:pPr>
        <w:jc w:val="both"/>
        <w:rPr>
          <w:rFonts w:ascii="Arial" w:hAnsi="Arial" w:cs="Arial"/>
          <w:sz w:val="20"/>
          <w:szCs w:val="20"/>
        </w:rPr>
      </w:pPr>
    </w:p>
    <w:p w:rsidR="00070B4A" w:rsidRDefault="00070B4A" w:rsidP="00070B4A">
      <w:pPr>
        <w:jc w:val="both"/>
        <w:rPr>
          <w:rFonts w:ascii="Arial" w:hAnsi="Arial" w:cs="Arial"/>
          <w:sz w:val="20"/>
          <w:szCs w:val="20"/>
        </w:rPr>
      </w:pPr>
    </w:p>
    <w:p w:rsidR="005834D0" w:rsidRDefault="005834D0" w:rsidP="00070B4A">
      <w:pPr>
        <w:jc w:val="both"/>
        <w:rPr>
          <w:rFonts w:ascii="Arial" w:hAnsi="Arial" w:cs="Arial"/>
          <w:sz w:val="20"/>
          <w:szCs w:val="20"/>
        </w:rPr>
      </w:pPr>
    </w:p>
    <w:p w:rsidR="00070B4A" w:rsidRDefault="00070B4A" w:rsidP="00070B4A">
      <w:pPr>
        <w:jc w:val="center"/>
        <w:rPr>
          <w:rFonts w:ascii="Arial" w:hAnsi="Arial" w:cs="Arial"/>
          <w:sz w:val="28"/>
          <w:szCs w:val="28"/>
        </w:rPr>
      </w:pPr>
      <w:r>
        <w:rPr>
          <w:rFonts w:ascii="Arial" w:hAnsi="Arial" w:cs="Arial"/>
          <w:b/>
          <w:sz w:val="28"/>
          <w:szCs w:val="28"/>
        </w:rPr>
        <w:lastRenderedPageBreak/>
        <w:t>Compétences sur « Extraire et exploiter »</w:t>
      </w:r>
    </w:p>
    <w:tbl>
      <w:tblPr>
        <w:tblpPr w:leftFromText="141" w:rightFromText="141" w:vertAnchor="page" w:horzAnchor="margin" w:tblpY="1831"/>
        <w:tblW w:w="5000" w:type="pct"/>
        <w:tblLook w:val="0000" w:firstRow="0" w:lastRow="0" w:firstColumn="0" w:lastColumn="0" w:noHBand="0" w:noVBand="0"/>
      </w:tblPr>
      <w:tblGrid>
        <w:gridCol w:w="4791"/>
        <w:gridCol w:w="4497"/>
      </w:tblGrid>
      <w:tr w:rsidR="003322F6" w:rsidRPr="00070B4A" w:rsidTr="003322F6">
        <w:trPr>
          <w:trHeight w:val="491"/>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jc w:val="center"/>
              <w:rPr>
                <w:rFonts w:ascii="Arial" w:hAnsi="Arial" w:cs="Arial"/>
                <w:b/>
                <w:sz w:val="18"/>
                <w:szCs w:val="18"/>
                <w:lang w:eastAsia="ar-SA"/>
              </w:rPr>
            </w:pPr>
            <w:r w:rsidRPr="003867ED">
              <w:rPr>
                <w:rFonts w:ascii="Arial" w:hAnsi="Arial" w:cs="Arial"/>
                <w:b/>
                <w:sz w:val="18"/>
                <w:szCs w:val="18"/>
              </w:rPr>
              <w:t>Compétence</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rFonts w:ascii="Arial" w:hAnsi="Arial" w:cs="Arial"/>
                <w:b/>
                <w:sz w:val="18"/>
                <w:szCs w:val="18"/>
                <w:lang w:eastAsia="ar-SA"/>
              </w:rPr>
            </w:pPr>
          </w:p>
        </w:tc>
      </w:tr>
      <w:tr w:rsidR="003322F6" w:rsidRPr="00070B4A" w:rsidTr="003322F6">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rFonts w:ascii="Arial" w:hAnsi="Arial"/>
                <w:b/>
                <w:bCs/>
                <w:sz w:val="18"/>
                <w:szCs w:val="18"/>
                <w:lang w:eastAsia="ar-SA"/>
              </w:rPr>
            </w:pPr>
            <w:r w:rsidRPr="003867ED">
              <w:rPr>
                <w:rFonts w:ascii="Arial" w:hAnsi="Arial"/>
                <w:b/>
                <w:bCs/>
                <w:sz w:val="18"/>
                <w:szCs w:val="18"/>
              </w:rPr>
              <w:t>Extraire</w:t>
            </w:r>
          </w:p>
        </w:tc>
      </w:tr>
      <w:tr w:rsidR="003322F6" w:rsidRPr="00070B4A" w:rsidTr="003322F6">
        <w:trPr>
          <w:trHeight w:val="24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6E6FF"/>
          </w:tcPr>
          <w:p w:rsidR="003322F6" w:rsidRPr="003867ED" w:rsidRDefault="003322F6" w:rsidP="003322F6">
            <w:pPr>
              <w:suppressAutoHyphens/>
              <w:snapToGrid w:val="0"/>
              <w:spacing w:line="240" w:lineRule="auto"/>
              <w:rPr>
                <w:sz w:val="18"/>
                <w:szCs w:val="18"/>
                <w:lang w:eastAsia="ar-SA"/>
              </w:rPr>
            </w:pPr>
            <w:r w:rsidRPr="003867ED">
              <w:rPr>
                <w:sz w:val="18"/>
                <w:szCs w:val="18"/>
              </w:rPr>
              <w:t>S'interroger de manière critique sur...</w:t>
            </w: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la valeur scientifique des informations</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la pertinence de leur prise en compte</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6E6FF"/>
          </w:tcPr>
          <w:p w:rsidR="003322F6" w:rsidRPr="003867ED" w:rsidRDefault="003322F6" w:rsidP="003322F6">
            <w:pPr>
              <w:suppressAutoHyphens/>
              <w:snapToGrid w:val="0"/>
              <w:spacing w:line="240" w:lineRule="auto"/>
              <w:rPr>
                <w:sz w:val="18"/>
                <w:szCs w:val="18"/>
                <w:lang w:eastAsia="ar-SA"/>
              </w:rPr>
            </w:pPr>
            <w:r w:rsidRPr="003867ED">
              <w:rPr>
                <w:sz w:val="18"/>
                <w:szCs w:val="18"/>
              </w:rPr>
              <w:t>Choisir ...</w:t>
            </w:r>
          </w:p>
        </w:tc>
      </w:tr>
      <w:tr w:rsidR="003322F6" w:rsidRPr="00070B4A" w:rsidTr="003322F6">
        <w:trPr>
          <w:trHeight w:val="351"/>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de manière argumentée</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ce qui est à retenir dans des ensembles</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6E6FF"/>
          </w:tcPr>
          <w:p w:rsidR="003322F6" w:rsidRPr="003867ED" w:rsidRDefault="003322F6" w:rsidP="003322F6">
            <w:pPr>
              <w:suppressAutoHyphens/>
              <w:snapToGrid w:val="0"/>
              <w:spacing w:line="240" w:lineRule="auto"/>
              <w:rPr>
                <w:sz w:val="18"/>
                <w:szCs w:val="18"/>
                <w:lang w:eastAsia="ar-SA"/>
              </w:rPr>
            </w:pPr>
            <w:r w:rsidRPr="003867ED">
              <w:rPr>
                <w:sz w:val="18"/>
                <w:szCs w:val="18"/>
              </w:rPr>
              <w:t>Distinguer la connaissance objective et rationnelle....</w:t>
            </w: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de l'opinion</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de la croyance</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6E6FF"/>
          </w:tcPr>
          <w:p w:rsidR="003322F6" w:rsidRPr="003867ED" w:rsidRDefault="003322F6" w:rsidP="003322F6">
            <w:pPr>
              <w:suppressAutoHyphens/>
              <w:snapToGrid w:val="0"/>
              <w:spacing w:line="240" w:lineRule="auto"/>
              <w:rPr>
                <w:sz w:val="18"/>
                <w:szCs w:val="18"/>
                <w:lang w:eastAsia="ar-SA"/>
              </w:rPr>
            </w:pPr>
            <w:r w:rsidRPr="003867ED">
              <w:rPr>
                <w:sz w:val="18"/>
                <w:szCs w:val="18"/>
              </w:rPr>
              <w:t>Supports d'information</w:t>
            </w: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Textes de vulgarisation</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Textes scientifiques en français</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Textes scientifiques en langue étrangère</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single" w:sz="4" w:space="0" w:color="000000"/>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Tableaux de données</w:t>
            </w:r>
          </w:p>
        </w:tc>
        <w:tc>
          <w:tcPr>
            <w:tcW w:w="2421" w:type="pct"/>
            <w:tcBorders>
              <w:top w:val="single" w:sz="4" w:space="0" w:color="000000"/>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Constructions graphiques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Vidéos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Signaux délivrés par des capteurs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Spectres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Modèles moléculaires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Expériences réalisées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Expériences simulées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5000" w:type="pct"/>
            <w:gridSpan w:val="2"/>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rFonts w:ascii="Arial" w:hAnsi="Arial"/>
                <w:b/>
                <w:bCs/>
                <w:sz w:val="18"/>
                <w:szCs w:val="18"/>
                <w:lang w:eastAsia="ar-SA"/>
              </w:rPr>
            </w:pPr>
            <w:r w:rsidRPr="003867ED">
              <w:rPr>
                <w:rFonts w:ascii="Arial" w:hAnsi="Arial"/>
                <w:b/>
                <w:bCs/>
                <w:sz w:val="18"/>
                <w:szCs w:val="18"/>
              </w:rPr>
              <w:t>Exploiter</w:t>
            </w: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Identification des grandeurs physiques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r w:rsidRPr="003867ED">
              <w:rPr>
                <w:sz w:val="18"/>
                <w:szCs w:val="18"/>
                <w:lang w:eastAsia="ar-SA"/>
              </w:rPr>
              <w:t>Oui</w:t>
            </w: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Identification des grandeurs chimiques</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Modélisation</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Analyse dimensionnelle</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Comparaison d'ordres de grandeur</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Communication en tant que scientifique</w:t>
            </w:r>
          </w:p>
        </w:tc>
        <w:tc>
          <w:tcPr>
            <w:tcW w:w="2421" w:type="pct"/>
            <w:tcBorders>
              <w:top w:val="nil"/>
              <w:left w:val="single" w:sz="4" w:space="0" w:color="000000"/>
              <w:bottom w:val="single" w:sz="4" w:space="0" w:color="000000"/>
              <w:right w:val="single" w:sz="4" w:space="0" w:color="000000"/>
            </w:tcBorders>
          </w:tcPr>
          <w:p w:rsidR="003322F6" w:rsidRPr="003867ED" w:rsidRDefault="00495D13" w:rsidP="003322F6">
            <w:pPr>
              <w:suppressAutoHyphens/>
              <w:snapToGrid w:val="0"/>
              <w:spacing w:line="240" w:lineRule="auto"/>
              <w:jc w:val="center"/>
              <w:rPr>
                <w:sz w:val="18"/>
                <w:szCs w:val="18"/>
                <w:lang w:eastAsia="ar-SA"/>
              </w:rPr>
            </w:pPr>
            <w:r>
              <w:rPr>
                <w:sz w:val="18"/>
                <w:szCs w:val="18"/>
                <w:lang w:eastAsia="ar-SA"/>
              </w:rPr>
              <w:t>O</w:t>
            </w:r>
            <w:r w:rsidR="003322F6" w:rsidRPr="003867ED">
              <w:rPr>
                <w:sz w:val="18"/>
                <w:szCs w:val="18"/>
                <w:lang w:eastAsia="ar-SA"/>
              </w:rPr>
              <w:t>ui</w:t>
            </w:r>
          </w:p>
        </w:tc>
      </w:tr>
      <w:tr w:rsidR="003322F6" w:rsidRPr="00070B4A" w:rsidTr="003322F6">
        <w:trPr>
          <w:trHeight w:val="245"/>
        </w:trPr>
        <w:tc>
          <w:tcPr>
            <w:tcW w:w="2579" w:type="pct"/>
            <w:tcBorders>
              <w:top w:val="nil"/>
              <w:left w:val="single" w:sz="4" w:space="0" w:color="000000"/>
              <w:bottom w:val="single" w:sz="4" w:space="0" w:color="000000"/>
              <w:right w:val="nil"/>
            </w:tcBorders>
          </w:tcPr>
          <w:p w:rsidR="003322F6" w:rsidRPr="003867ED" w:rsidRDefault="003322F6" w:rsidP="003322F6">
            <w:pPr>
              <w:suppressAutoHyphens/>
              <w:snapToGrid w:val="0"/>
              <w:spacing w:line="240" w:lineRule="auto"/>
              <w:rPr>
                <w:sz w:val="18"/>
                <w:szCs w:val="18"/>
                <w:lang w:eastAsia="ar-SA"/>
              </w:rPr>
            </w:pPr>
            <w:r w:rsidRPr="003867ED">
              <w:rPr>
                <w:sz w:val="18"/>
                <w:szCs w:val="18"/>
              </w:rPr>
              <w:t>Analyse critique d'un résultat</w:t>
            </w:r>
          </w:p>
        </w:tc>
        <w:tc>
          <w:tcPr>
            <w:tcW w:w="2421" w:type="pct"/>
            <w:tcBorders>
              <w:top w:val="nil"/>
              <w:left w:val="single" w:sz="4" w:space="0" w:color="000000"/>
              <w:bottom w:val="single" w:sz="4" w:space="0" w:color="000000"/>
              <w:right w:val="single" w:sz="4" w:space="0" w:color="000000"/>
            </w:tcBorders>
          </w:tcPr>
          <w:p w:rsidR="003322F6" w:rsidRPr="003867ED" w:rsidRDefault="003322F6" w:rsidP="003322F6">
            <w:pPr>
              <w:suppressAutoHyphens/>
              <w:snapToGrid w:val="0"/>
              <w:spacing w:line="240" w:lineRule="auto"/>
              <w:jc w:val="center"/>
              <w:rPr>
                <w:sz w:val="18"/>
                <w:szCs w:val="18"/>
                <w:lang w:eastAsia="ar-SA"/>
              </w:rPr>
            </w:pPr>
          </w:p>
        </w:tc>
      </w:tr>
    </w:tbl>
    <w:p w:rsidR="00070B4A" w:rsidRDefault="00070B4A" w:rsidP="00070B4A">
      <w:pPr>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bookmarkStart w:id="0" w:name="_GoBack"/>
      <w:bookmarkEnd w:id="0"/>
    </w:p>
    <w:p w:rsidR="00D96B19" w:rsidRDefault="00D96B19" w:rsidP="00D96B19">
      <w:pPr>
        <w:pStyle w:val="En-ttediscipline"/>
      </w:pPr>
      <w:r>
        <w:t>PHYSIQUE CHIMIE</w:t>
      </w:r>
    </w:p>
    <w:p w:rsidR="00D96B19" w:rsidRDefault="00F77D41" w:rsidP="00D96B19">
      <w:pPr>
        <w:pStyle w:val="En-tteprogramme"/>
      </w:pPr>
      <w:r>
        <w:t>Terminale S</w:t>
      </w:r>
    </w:p>
    <w:p w:rsidR="00F77D41" w:rsidRDefault="00F77D41" w:rsidP="00F77D41">
      <w:pPr>
        <w:pStyle w:val="En-tetedepage"/>
      </w:pPr>
    </w:p>
    <w:p w:rsidR="00F77D41" w:rsidRDefault="00F77D41" w:rsidP="00F77D41">
      <w:pPr>
        <w:pStyle w:val="En-tetedepage"/>
      </w:pPr>
      <w:r>
        <w:t xml:space="preserve">Réalisation d’un DPE </w:t>
      </w:r>
    </w:p>
    <w:p w:rsidR="00F77D41" w:rsidRPr="00F77D41" w:rsidRDefault="00F77D41" w:rsidP="00F77D41">
      <w:pPr>
        <w:pStyle w:val="En-tetedepage"/>
        <w:rPr>
          <w:sz w:val="28"/>
          <w:szCs w:val="28"/>
        </w:rPr>
      </w:pPr>
      <w:r w:rsidRPr="00F77D41">
        <w:rPr>
          <w:sz w:val="28"/>
          <w:szCs w:val="28"/>
        </w:rPr>
        <w:t xml:space="preserve">(Diagnostic de </w:t>
      </w:r>
      <w:r>
        <w:rPr>
          <w:sz w:val="28"/>
          <w:szCs w:val="28"/>
        </w:rPr>
        <w:t>P</w:t>
      </w:r>
      <w:r w:rsidRPr="00F77D41">
        <w:rPr>
          <w:sz w:val="28"/>
          <w:szCs w:val="28"/>
        </w:rPr>
        <w:t xml:space="preserve">erformance </w:t>
      </w:r>
      <w:r>
        <w:rPr>
          <w:sz w:val="28"/>
          <w:szCs w:val="28"/>
        </w:rPr>
        <w:t>E</w:t>
      </w:r>
      <w:r w:rsidRPr="00F77D41">
        <w:rPr>
          <w:sz w:val="28"/>
          <w:szCs w:val="28"/>
        </w:rPr>
        <w:t>nergétique par thermographie)</w:t>
      </w:r>
      <w:r w:rsidR="009F0D16" w:rsidRPr="00F77D41">
        <w:rPr>
          <w:sz w:val="28"/>
          <w:szCs w:val="28"/>
        </w:rPr>
        <w:t xml:space="preserve"> </w:t>
      </w:r>
    </w:p>
    <w:p w:rsidR="00F77D41" w:rsidRDefault="00F77D41" w:rsidP="00F77D41">
      <w:pPr>
        <w:pStyle w:val="Titre1numrot"/>
      </w:pPr>
      <w:r>
        <w:t>Quelques informations</w:t>
      </w:r>
    </w:p>
    <w:p w:rsidR="009F0D16" w:rsidRPr="00A36CD7" w:rsidRDefault="00F77D41" w:rsidP="009F0D16">
      <w:pPr>
        <w:pStyle w:val="Titre2numrot"/>
        <w:rPr>
          <w:rStyle w:val="CitationHTML"/>
          <w:i w:val="0"/>
        </w:rPr>
      </w:pPr>
      <w:r>
        <w:t>La thermographie</w:t>
      </w:r>
    </w:p>
    <w:p w:rsidR="009F0D16" w:rsidRDefault="00847E05" w:rsidP="009F0D16">
      <w:pPr>
        <w:rPr>
          <w:rStyle w:val="CitationHTML"/>
          <w:rFonts w:ascii="Arial" w:hAnsi="Arial" w:cs="Arial"/>
        </w:rPr>
      </w:pPr>
      <w:r>
        <w:rPr>
          <w:rStyle w:val="CitationHTML"/>
          <w:rFonts w:ascii="Arial" w:hAnsi="Arial" w:cs="Arial"/>
        </w:rPr>
      </w:r>
      <w:r>
        <w:rPr>
          <w:rStyle w:val="CitationHTML"/>
          <w:rFonts w:ascii="Arial" w:hAnsi="Arial" w:cs="Arial"/>
        </w:rPr>
        <w:pict>
          <v:shapetype id="_x0000_t202" coordsize="21600,21600" o:spt="202" path="m,l,21600r21600,l21600,xe">
            <v:stroke joinstyle="miter"/>
            <v:path gradientshapeok="t" o:connecttype="rect"/>
          </v:shapetype>
          <v:shape id="_x0000_s1040" type="#_x0000_t202" style="width:482.2pt;height:309.2pt;mso-left-percent:-10001;mso-top-percent:-10001;mso-position-horizontal:absolute;mso-position-horizontal-relative:char;mso-position-vertical:absolute;mso-position-vertical-relative:line;mso-left-percent:-10001;mso-top-percent:-10001">
            <v:textbox style="mso-next-textbox:#_x0000_s1040">
              <w:txbxContent>
                <w:p w:rsidR="009F0D16" w:rsidRDefault="009F0D16" w:rsidP="009F0D16">
                  <w:r w:rsidRPr="0010179B">
                    <w:t>Le principe de la Thermographie infrarouge repose sur le phénomène physique selon lequel chaque corps dont la température est supérieure au zéro absolu émet un rayonnement électromagnétique. Chaque  corps  émet  donc son  propre  rayonnement,  qui  dépend  directement  de sa température et de sa nature  ( notion d'émissivité des matériaux)</w:t>
                  </w:r>
                  <w:r>
                    <w:t>.</w:t>
                  </w:r>
                </w:p>
                <w:p w:rsidR="009F0D16" w:rsidRDefault="009F0D16" w:rsidP="009F0D16">
                  <w:r w:rsidRPr="0010179B">
                    <w:rPr>
                      <w:noProof/>
                    </w:rPr>
                    <w:t xml:space="preserve"> </w:t>
                  </w:r>
                  <w:r>
                    <w:t xml:space="preserve">La caméra thermique permet de mettre en évidence les pertes thermiques par rayonnement et les pertes thermiques  par convection. </w:t>
                  </w:r>
                </w:p>
                <w:p w:rsidR="009F0D16" w:rsidRDefault="009F0D16" w:rsidP="009F0D16">
                  <w:r>
                    <w:rPr>
                      <w:noProof/>
                      <w:lang w:eastAsia="fr-FR"/>
                    </w:rPr>
                    <w:drawing>
                      <wp:inline distT="0" distB="0" distL="0" distR="0">
                        <wp:extent cx="5686425" cy="2403540"/>
                        <wp:effectExtent l="19050" t="0" r="0" b="0"/>
                        <wp:docPr id="1" name="Image 14" descr="http://s1.e-monsite.com/2009/02/26/05/97163735refen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e-monsite.com/2009/02/26/05/97163735refend-jpg.jpg"/>
                                <pic:cNvPicPr>
                                  <a:picLocks noChangeAspect="1" noChangeArrowheads="1"/>
                                </pic:cNvPicPr>
                              </pic:nvPicPr>
                              <pic:blipFill>
                                <a:blip r:embed="rId12"/>
                                <a:srcRect/>
                                <a:stretch>
                                  <a:fillRect/>
                                </a:stretch>
                              </pic:blipFill>
                              <pic:spPr bwMode="auto">
                                <a:xfrm>
                                  <a:off x="0" y="0"/>
                                  <a:ext cx="5686994" cy="2403781"/>
                                </a:xfrm>
                                <a:prstGeom prst="rect">
                                  <a:avLst/>
                                </a:prstGeom>
                                <a:noFill/>
                                <a:ln w="9525">
                                  <a:noFill/>
                                  <a:miter lim="800000"/>
                                  <a:headEnd/>
                                  <a:tailEnd/>
                                </a:ln>
                              </pic:spPr>
                            </pic:pic>
                          </a:graphicData>
                        </a:graphic>
                      </wp:inline>
                    </w:drawing>
                  </w:r>
                  <w:r w:rsidRPr="0010179B">
                    <w:t xml:space="preserve">.  </w:t>
                  </w:r>
                </w:p>
              </w:txbxContent>
            </v:textbox>
            <w10:wrap type="none"/>
            <w10:anchorlock/>
          </v:shape>
        </w:pict>
      </w:r>
    </w:p>
    <w:p w:rsidR="009F0D16" w:rsidRDefault="009F0D16" w:rsidP="009F0D16">
      <w:pPr>
        <w:rPr>
          <w:rStyle w:val="Lienhypertexte"/>
        </w:rPr>
      </w:pPr>
      <w:r>
        <w:rPr>
          <w:rStyle w:val="CitationHTML"/>
          <w:rFonts w:ascii="Arial" w:hAnsi="Arial" w:cs="Arial"/>
        </w:rPr>
        <w:t xml:space="preserve">L’isolation thermique un enjeu environnemental, de société et économique : </w:t>
      </w:r>
      <w:hyperlink r:id="rId13" w:history="1">
        <w:r w:rsidRPr="00F40C5D">
          <w:rPr>
            <w:rStyle w:val="Lienhypertexte"/>
          </w:rPr>
          <w:t>http://caue75.archi.fr/fileadmin/user_upload/Conseil/isolation_231109.pdf</w:t>
        </w:r>
      </w:hyperlink>
    </w:p>
    <w:p w:rsidR="00A36CD7" w:rsidRDefault="00A36CD7" w:rsidP="009F0D16">
      <w:pPr>
        <w:rPr>
          <w:rStyle w:val="CitationHTML"/>
          <w:rFonts w:ascii="Arial" w:hAnsi="Arial" w:cs="Arial"/>
        </w:rPr>
      </w:pPr>
    </w:p>
    <w:p w:rsidR="00A36CD7" w:rsidRDefault="00A36CD7" w:rsidP="00A36CD7">
      <w:pPr>
        <w:pStyle w:val="Titre2numrot"/>
        <w:tabs>
          <w:tab w:val="num" w:pos="284"/>
          <w:tab w:val="left" w:pos="709"/>
        </w:tabs>
        <w:ind w:left="426" w:hanging="142"/>
      </w:pPr>
      <w:r>
        <w:t>Choix de l’isolant</w:t>
      </w:r>
    </w:p>
    <w:p w:rsidR="009F0D16" w:rsidRPr="00F633DD" w:rsidRDefault="009F0D16" w:rsidP="009F0D16">
      <w:pPr>
        <w:autoSpaceDE w:val="0"/>
        <w:autoSpaceDN w:val="0"/>
        <w:adjustRightInd w:val="0"/>
        <w:spacing w:after="0" w:line="240" w:lineRule="auto"/>
        <w:rPr>
          <w:rFonts w:cstheme="minorHAnsi"/>
          <w:b/>
          <w:bCs/>
          <w:color w:val="8B0012"/>
          <w:sz w:val="24"/>
          <w:szCs w:val="24"/>
        </w:rPr>
      </w:pPr>
      <w:r w:rsidRPr="00F633DD">
        <w:rPr>
          <w:rFonts w:cstheme="minorHAnsi"/>
          <w:b/>
          <w:bCs/>
          <w:color w:val="8B0012"/>
          <w:sz w:val="24"/>
          <w:szCs w:val="24"/>
        </w:rPr>
        <w:t>Définitions</w:t>
      </w:r>
    </w:p>
    <w:p w:rsidR="009F0D16"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Coefficient de conductivité thermique lambda (</w:t>
      </w:r>
      <w:r w:rsidRPr="00F633DD">
        <w:rPr>
          <w:rFonts w:cstheme="minorHAnsi"/>
          <w:color w:val="8B0012"/>
          <w:sz w:val="24"/>
          <w:szCs w:val="24"/>
        </w:rPr>
        <w:t xml:space="preserve">λ) </w:t>
      </w:r>
      <w:r w:rsidRPr="00F633DD">
        <w:rPr>
          <w:rFonts w:cstheme="minorHAnsi"/>
          <w:i/>
          <w:iCs/>
          <w:color w:val="000000"/>
          <w:sz w:val="24"/>
          <w:szCs w:val="24"/>
        </w:rPr>
        <w:t>C’est le flux de chaleur traversant 1 m</w:t>
      </w:r>
      <w:r w:rsidRPr="00990385">
        <w:rPr>
          <w:rFonts w:cstheme="minorHAnsi"/>
          <w:i/>
          <w:iCs/>
          <w:color w:val="000000"/>
          <w:sz w:val="24"/>
          <w:szCs w:val="24"/>
          <w:vertAlign w:val="superscript"/>
        </w:rPr>
        <w:t>2</w:t>
      </w:r>
      <w:r w:rsidRPr="00F633DD">
        <w:rPr>
          <w:rFonts w:cstheme="minorHAnsi"/>
          <w:i/>
          <w:iCs/>
          <w:color w:val="000000"/>
          <w:sz w:val="24"/>
          <w:szCs w:val="24"/>
        </w:rPr>
        <w:t xml:space="preserve"> d’isolant d’un mètre d’épaisseur pour une différence d’un degré entre</w:t>
      </w:r>
      <w:r>
        <w:rPr>
          <w:rFonts w:cstheme="minorHAnsi"/>
          <w:i/>
          <w:iCs/>
          <w:color w:val="000000"/>
          <w:sz w:val="24"/>
          <w:szCs w:val="24"/>
        </w:rPr>
        <w:t xml:space="preserve"> </w:t>
      </w:r>
      <w:r w:rsidRPr="00F633DD">
        <w:rPr>
          <w:rFonts w:cstheme="minorHAnsi"/>
          <w:i/>
          <w:iCs/>
          <w:color w:val="000000"/>
          <w:sz w:val="24"/>
          <w:szCs w:val="24"/>
        </w:rPr>
        <w:t xml:space="preserve">les deux faces. Plus le </w:t>
      </w:r>
      <w:r w:rsidRPr="00F633DD">
        <w:rPr>
          <w:rFonts w:cstheme="minorHAnsi"/>
          <w:color w:val="000000"/>
          <w:sz w:val="24"/>
          <w:szCs w:val="24"/>
        </w:rPr>
        <w:t xml:space="preserve">λ </w:t>
      </w:r>
      <w:r w:rsidRPr="00F633DD">
        <w:rPr>
          <w:rFonts w:cstheme="minorHAnsi"/>
          <w:i/>
          <w:iCs/>
          <w:color w:val="000000"/>
          <w:sz w:val="24"/>
          <w:szCs w:val="24"/>
        </w:rPr>
        <w:t>est faible, plus le matériau est isolant. On l’exprime en W/(m.K).</w:t>
      </w: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 xml:space="preserve">Résistance thermique R </w:t>
      </w:r>
      <w:r w:rsidRPr="00F633DD">
        <w:rPr>
          <w:rFonts w:cstheme="minorHAnsi"/>
          <w:i/>
          <w:iCs/>
          <w:color w:val="000000"/>
          <w:sz w:val="24"/>
          <w:szCs w:val="24"/>
        </w:rPr>
        <w:t>C’est le rapport entre l’épaisseur du matériau et le</w:t>
      </w:r>
      <w:r>
        <w:rPr>
          <w:rFonts w:cstheme="minorHAnsi"/>
          <w:i/>
          <w:iCs/>
          <w:color w:val="000000"/>
          <w:sz w:val="24"/>
          <w:szCs w:val="24"/>
        </w:rPr>
        <w:t xml:space="preserve"> </w:t>
      </w:r>
      <w:r w:rsidRPr="00F633DD">
        <w:rPr>
          <w:rFonts w:cstheme="minorHAnsi"/>
          <w:i/>
          <w:iCs/>
          <w:color w:val="000000"/>
          <w:sz w:val="24"/>
          <w:szCs w:val="24"/>
        </w:rPr>
        <w:t>coefficient de conductivité thermique (R = e/</w:t>
      </w:r>
      <w:r w:rsidRPr="00F633DD">
        <w:rPr>
          <w:rFonts w:cstheme="minorHAnsi"/>
          <w:color w:val="000000"/>
          <w:sz w:val="24"/>
          <w:szCs w:val="24"/>
        </w:rPr>
        <w:t>λ</w:t>
      </w:r>
      <w:r w:rsidRPr="00F633DD">
        <w:rPr>
          <w:rFonts w:cstheme="minorHAnsi"/>
          <w:i/>
          <w:iCs/>
          <w:color w:val="000000"/>
          <w:sz w:val="24"/>
          <w:szCs w:val="24"/>
        </w:rPr>
        <w:t>). Plus l</w:t>
      </w:r>
      <w:r>
        <w:rPr>
          <w:rFonts w:cstheme="minorHAnsi"/>
          <w:i/>
          <w:iCs/>
          <w:color w:val="000000"/>
          <w:sz w:val="24"/>
          <w:szCs w:val="24"/>
        </w:rPr>
        <w:t>a</w:t>
      </w:r>
      <w:r w:rsidRPr="00F633DD">
        <w:rPr>
          <w:rFonts w:cstheme="minorHAnsi"/>
          <w:i/>
          <w:iCs/>
          <w:color w:val="000000"/>
          <w:sz w:val="24"/>
          <w:szCs w:val="24"/>
        </w:rPr>
        <w:t xml:space="preserve"> R est élevé</w:t>
      </w:r>
      <w:r>
        <w:rPr>
          <w:rFonts w:cstheme="minorHAnsi"/>
          <w:i/>
          <w:iCs/>
          <w:color w:val="000000"/>
          <w:sz w:val="24"/>
          <w:szCs w:val="24"/>
        </w:rPr>
        <w:t xml:space="preserve">e </w:t>
      </w:r>
      <w:r w:rsidRPr="00F633DD">
        <w:rPr>
          <w:rFonts w:cstheme="minorHAnsi"/>
          <w:i/>
          <w:iCs/>
          <w:color w:val="000000"/>
          <w:sz w:val="24"/>
          <w:szCs w:val="24"/>
        </w:rPr>
        <w:t>plus le matériau ou la paroi est isolante. On l’exprime en (m</w:t>
      </w:r>
      <w:r w:rsidRPr="00990385">
        <w:rPr>
          <w:rFonts w:cstheme="minorHAnsi"/>
          <w:i/>
          <w:iCs/>
          <w:color w:val="000000"/>
          <w:sz w:val="24"/>
          <w:szCs w:val="24"/>
          <w:vertAlign w:val="superscript"/>
        </w:rPr>
        <w:t>2</w:t>
      </w:r>
      <w:r w:rsidRPr="00F633DD">
        <w:rPr>
          <w:rFonts w:cstheme="minorHAnsi"/>
          <w:i/>
          <w:iCs/>
          <w:color w:val="000000"/>
          <w:sz w:val="24"/>
          <w:szCs w:val="24"/>
        </w:rPr>
        <w:t>.</w:t>
      </w:r>
      <w:r>
        <w:rPr>
          <w:rFonts w:cstheme="minorHAnsi"/>
          <w:i/>
          <w:iCs/>
          <w:color w:val="000000"/>
          <w:sz w:val="24"/>
          <w:szCs w:val="24"/>
        </w:rPr>
        <w:t>K</w:t>
      </w:r>
      <w:r w:rsidRPr="00F633DD">
        <w:rPr>
          <w:rFonts w:cstheme="minorHAnsi"/>
          <w:i/>
          <w:iCs/>
          <w:color w:val="000000"/>
          <w:sz w:val="24"/>
          <w:szCs w:val="24"/>
        </w:rPr>
        <w:t>)/W.</w:t>
      </w: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 xml:space="preserve">Masse volumique </w:t>
      </w:r>
      <w:r w:rsidRPr="00F633DD">
        <w:rPr>
          <w:rFonts w:cstheme="minorHAnsi"/>
          <w:i/>
          <w:iCs/>
          <w:color w:val="000000"/>
          <w:sz w:val="24"/>
          <w:szCs w:val="24"/>
        </w:rPr>
        <w:t>C’est la masse du matériau par rapport à son volume.</w:t>
      </w:r>
      <w:r>
        <w:rPr>
          <w:rFonts w:cstheme="minorHAnsi"/>
          <w:i/>
          <w:iCs/>
          <w:color w:val="000000"/>
          <w:sz w:val="24"/>
          <w:szCs w:val="24"/>
        </w:rPr>
        <w:t xml:space="preserve"> </w:t>
      </w:r>
      <w:r w:rsidRPr="00F633DD">
        <w:rPr>
          <w:rFonts w:cstheme="minorHAnsi"/>
          <w:i/>
          <w:iCs/>
          <w:color w:val="000000"/>
          <w:sz w:val="24"/>
          <w:szCs w:val="24"/>
        </w:rPr>
        <w:t>Plus elle est importante plus le matériau sera lourd et aura une forte inertie thermique. On l’exprime en kg/m</w:t>
      </w:r>
      <w:r w:rsidRPr="00F633DD">
        <w:rPr>
          <w:rFonts w:cstheme="minorHAnsi"/>
          <w:i/>
          <w:iCs/>
          <w:color w:val="000000"/>
          <w:sz w:val="24"/>
          <w:szCs w:val="24"/>
          <w:vertAlign w:val="superscript"/>
        </w:rPr>
        <w:t>3</w:t>
      </w:r>
      <w:r w:rsidRPr="00F633DD">
        <w:rPr>
          <w:rFonts w:cstheme="minorHAnsi"/>
          <w:i/>
          <w:iCs/>
          <w:color w:val="000000"/>
          <w:sz w:val="24"/>
          <w:szCs w:val="24"/>
        </w:rPr>
        <w:t>.</w:t>
      </w: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 xml:space="preserve">Inertie thermique ou capacité thermique </w:t>
      </w:r>
      <w:r w:rsidRPr="00F633DD">
        <w:rPr>
          <w:rFonts w:cstheme="minorHAnsi"/>
          <w:i/>
          <w:iCs/>
          <w:color w:val="000000"/>
          <w:sz w:val="24"/>
          <w:szCs w:val="24"/>
        </w:rPr>
        <w:t>C’est la faculté qu’a un matériau d’emmagasiner la chaleur. Une forte inertie permet un meilleur confort d’été. Toutefois la paroi sera plus longue à réchauffer l’hiver. La spécificité des bâtiments anciens est d’avoir généralement une forte inertie thermique. En isolant ce type de bâtiment avec des matériaux ayant une faible inertie il y a un risque de diminuer le confort d’été.</w:t>
      </w:r>
    </w:p>
    <w:p w:rsidR="009F0D16" w:rsidRPr="004A1997"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 xml:space="preserve">Energie grise </w:t>
      </w:r>
      <w:r w:rsidRPr="00F633DD">
        <w:rPr>
          <w:rFonts w:cstheme="minorHAnsi"/>
          <w:i/>
          <w:iCs/>
          <w:color w:val="000000"/>
          <w:sz w:val="24"/>
          <w:szCs w:val="24"/>
        </w:rPr>
        <w:t>C’est la quantité d’énergie nécessaire pour fabriquer un mètre cube de produit fini. Plus elle est faible, plus le bilan énergétique du matériau est bon. On l’exprime en kWh/m</w:t>
      </w:r>
      <w:r w:rsidRPr="00F633DD">
        <w:rPr>
          <w:rFonts w:cstheme="minorHAnsi"/>
          <w:i/>
          <w:iCs/>
          <w:color w:val="000000"/>
          <w:sz w:val="24"/>
          <w:szCs w:val="24"/>
          <w:vertAlign w:val="superscript"/>
        </w:rPr>
        <w:t>3</w:t>
      </w:r>
      <w:r w:rsidRPr="00F633DD">
        <w:rPr>
          <w:rFonts w:cstheme="minorHAnsi"/>
          <w:i/>
          <w:iCs/>
          <w:color w:val="000000"/>
          <w:sz w:val="24"/>
          <w:szCs w:val="24"/>
        </w:rPr>
        <w:t>.</w:t>
      </w: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 xml:space="preserve">Déphasage </w:t>
      </w:r>
      <w:r w:rsidRPr="00F633DD">
        <w:rPr>
          <w:rFonts w:cstheme="minorHAnsi"/>
          <w:i/>
          <w:iCs/>
          <w:color w:val="000000"/>
          <w:sz w:val="24"/>
          <w:szCs w:val="24"/>
        </w:rPr>
        <w:t>C’est le décalage entre le moment où la température varie à l’extérieur de la paroi et le moment où cette variation arrive à l’intérieur. Un déphasage de 10-12 heures permet l’été de garder une maison fraîche, si on aère convenablement la nuit.</w:t>
      </w: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p>
    <w:p w:rsidR="009F0D16" w:rsidRPr="00F633DD" w:rsidRDefault="009F0D16" w:rsidP="009F0D16">
      <w:pPr>
        <w:autoSpaceDE w:val="0"/>
        <w:autoSpaceDN w:val="0"/>
        <w:adjustRightInd w:val="0"/>
        <w:spacing w:after="0" w:line="240" w:lineRule="auto"/>
        <w:jc w:val="both"/>
        <w:rPr>
          <w:rFonts w:cstheme="minorHAnsi"/>
          <w:i/>
          <w:iCs/>
          <w:color w:val="000000"/>
          <w:sz w:val="24"/>
          <w:szCs w:val="24"/>
        </w:rPr>
      </w:pPr>
      <w:r w:rsidRPr="00F633DD">
        <w:rPr>
          <w:rFonts w:cstheme="minorHAnsi"/>
          <w:b/>
          <w:bCs/>
          <w:color w:val="8B0012"/>
          <w:sz w:val="24"/>
          <w:szCs w:val="24"/>
        </w:rPr>
        <w:t xml:space="preserve">Pont thermique </w:t>
      </w:r>
      <w:r w:rsidRPr="00F633DD">
        <w:rPr>
          <w:rFonts w:cstheme="minorHAnsi"/>
          <w:i/>
          <w:iCs/>
          <w:color w:val="000000"/>
          <w:sz w:val="24"/>
          <w:szCs w:val="24"/>
        </w:rPr>
        <w:t>Un pont thermique correspond à une faiblesse dans l’isolation. Les ponts thermiques apparaissent principalement aux jonctions des parois entre elles (angles des murs et planchers, jointures des fenêtres, etc.).</w:t>
      </w:r>
    </w:p>
    <w:p w:rsidR="00A36CD7" w:rsidRDefault="00A36CD7"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A36CD7" w:rsidRDefault="00A36CD7" w:rsidP="00A36CD7">
      <w:pPr>
        <w:pStyle w:val="Titre2numrot"/>
        <w:tabs>
          <w:tab w:val="num" w:pos="360"/>
          <w:tab w:val="left" w:pos="709"/>
        </w:tabs>
        <w:ind w:left="426" w:hanging="142"/>
      </w:pPr>
      <w:r>
        <w:t>Caractéristiques de quelques isolants</w:t>
      </w:r>
    </w:p>
    <w:p w:rsidR="009F0D16" w:rsidRDefault="00847E05" w:rsidP="009F0D16">
      <w:pPr>
        <w:autoSpaceDE w:val="0"/>
        <w:autoSpaceDN w:val="0"/>
        <w:adjustRightInd w:val="0"/>
        <w:spacing w:after="0" w:line="240" w:lineRule="auto"/>
        <w:jc w:val="both"/>
        <w:rPr>
          <w:rFonts w:ascii="TrebuchetMS-Italic" w:hAnsi="TrebuchetMS-Italic" w:cs="TrebuchetMS-Italic"/>
          <w:i/>
          <w:iCs/>
          <w:color w:val="000000"/>
          <w:sz w:val="24"/>
          <w:szCs w:val="24"/>
        </w:rPr>
      </w:pPr>
      <w:r>
        <w:rPr>
          <w:rFonts w:ascii="TrebuchetMS-Italic" w:hAnsi="TrebuchetMS-Italic" w:cs="TrebuchetMS-Italic"/>
          <w:i/>
          <w:iCs/>
          <w:noProof/>
          <w:color w:val="000000"/>
          <w:sz w:val="24"/>
          <w:szCs w:val="24"/>
          <w:lang w:eastAsia="fr-FR"/>
        </w:rPr>
        <w:pict>
          <v:shape id="_x0000_s1037" type="#_x0000_t202" style="position:absolute;left:0;text-align:left;margin-left:-12.2pt;margin-top:12.85pt;width:511.35pt;height:388pt;z-index:251662336">
            <v:textbox>
              <w:txbxContent>
                <w:p w:rsidR="009F0D16" w:rsidRDefault="009F0D16" w:rsidP="009F0D16">
                  <w:r>
                    <w:rPr>
                      <w:noProof/>
                      <w:lang w:eastAsia="fr-FR"/>
                    </w:rPr>
                    <w:drawing>
                      <wp:inline distT="0" distB="0" distL="0" distR="0" wp14:anchorId="0F392596" wp14:editId="1E63A5F0">
                        <wp:extent cx="6286500" cy="4867275"/>
                        <wp:effectExtent l="1905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286500" cy="4867275"/>
                                </a:xfrm>
                                <a:prstGeom prst="rect">
                                  <a:avLst/>
                                </a:prstGeom>
                                <a:noFill/>
                                <a:ln w="9525">
                                  <a:noFill/>
                                  <a:miter lim="800000"/>
                                  <a:headEnd/>
                                  <a:tailEnd/>
                                </a:ln>
                              </pic:spPr>
                            </pic:pic>
                          </a:graphicData>
                        </a:graphic>
                      </wp:inline>
                    </w:drawing>
                  </w:r>
                </w:p>
              </w:txbxContent>
            </v:textbox>
          </v:shape>
        </w:pict>
      </w:r>
    </w:p>
    <w:p w:rsidR="009F0D16"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Default="009F0D16" w:rsidP="009F0D16">
      <w:pPr>
        <w:autoSpaceDE w:val="0"/>
        <w:autoSpaceDN w:val="0"/>
        <w:adjustRightInd w:val="0"/>
        <w:spacing w:after="0" w:line="240" w:lineRule="auto"/>
        <w:jc w:val="both"/>
        <w:rPr>
          <w:rFonts w:ascii="TrebuchetMS-Italic" w:hAnsi="TrebuchetMS-Italic" w:cs="TrebuchetMS-Italic"/>
          <w:i/>
          <w:iCs/>
          <w:color w:val="000000"/>
          <w:sz w:val="24"/>
          <w:szCs w:val="24"/>
        </w:rPr>
      </w:pPr>
    </w:p>
    <w:p w:rsidR="009F0D16" w:rsidRDefault="009F0D16" w:rsidP="009F0D16">
      <w:pPr>
        <w:autoSpaceDE w:val="0"/>
        <w:autoSpaceDN w:val="0"/>
        <w:adjustRightInd w:val="0"/>
        <w:spacing w:after="0" w:line="240" w:lineRule="auto"/>
        <w:jc w:val="both"/>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Pr="00D73417" w:rsidRDefault="009F0D16" w:rsidP="009F0D16">
      <w:pPr>
        <w:rPr>
          <w:sz w:val="24"/>
          <w:szCs w:val="24"/>
        </w:rPr>
      </w:pPr>
    </w:p>
    <w:p w:rsidR="009F0D16" w:rsidRDefault="009F0D16" w:rsidP="009F0D16">
      <w:pPr>
        <w:rPr>
          <w:sz w:val="24"/>
          <w:szCs w:val="24"/>
        </w:rPr>
      </w:pPr>
    </w:p>
    <w:p w:rsidR="009F0D16" w:rsidRDefault="009F0D16" w:rsidP="009F0D16">
      <w:pPr>
        <w:rPr>
          <w:sz w:val="24"/>
          <w:szCs w:val="24"/>
        </w:rPr>
      </w:pPr>
    </w:p>
    <w:p w:rsidR="005A1A53" w:rsidRDefault="005A1A53" w:rsidP="005A1A53">
      <w:pPr>
        <w:pStyle w:val="Titre2numrot"/>
      </w:pPr>
      <w:r>
        <w:t>Amélioration de l’inertie thermique : les matériaux à changement de phase (MCP)</w:t>
      </w:r>
    </w:p>
    <w:p w:rsidR="009F0D16" w:rsidRDefault="009F0D16" w:rsidP="009F0D16">
      <w:pPr>
        <w:rPr>
          <w:sz w:val="24"/>
          <w:szCs w:val="24"/>
        </w:rPr>
      </w:pPr>
      <w:r w:rsidRPr="00F6089F">
        <w:rPr>
          <w:noProof/>
          <w:sz w:val="24"/>
          <w:szCs w:val="24"/>
          <w:lang w:eastAsia="fr-FR"/>
        </w:rPr>
        <w:drawing>
          <wp:inline distT="0" distB="0" distL="0" distR="0">
            <wp:extent cx="4124325" cy="2493188"/>
            <wp:effectExtent l="19050" t="0" r="9525" b="0"/>
            <wp:docPr id="5" name="Image 4" descr="mcp_micr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p_micronal"/>
                    <pic:cNvPicPr>
                      <a:picLocks noChangeAspect="1" noChangeArrowheads="1"/>
                    </pic:cNvPicPr>
                  </pic:nvPicPr>
                  <pic:blipFill>
                    <a:blip r:embed="rId15" cstate="print"/>
                    <a:srcRect/>
                    <a:stretch>
                      <a:fillRect/>
                    </a:stretch>
                  </pic:blipFill>
                  <pic:spPr bwMode="auto">
                    <a:xfrm>
                      <a:off x="0" y="0"/>
                      <a:ext cx="4124325" cy="2493188"/>
                    </a:xfrm>
                    <a:prstGeom prst="rect">
                      <a:avLst/>
                    </a:prstGeom>
                    <a:noFill/>
                    <a:ln w="9525">
                      <a:noFill/>
                      <a:miter lim="800000"/>
                      <a:headEnd/>
                      <a:tailEnd/>
                    </a:ln>
                  </pic:spPr>
                </pic:pic>
              </a:graphicData>
            </a:graphic>
          </wp:inline>
        </w:drawing>
      </w:r>
    </w:p>
    <w:p w:rsidR="002F32D7" w:rsidRPr="00DC61A0" w:rsidRDefault="009F0D16" w:rsidP="002F32D7">
      <w:pPr>
        <w:jc w:val="both"/>
        <w:rPr>
          <w:rFonts w:eastAsia="Times New Roman" w:cstheme="minorHAnsi"/>
          <w:color w:val="000000"/>
          <w:sz w:val="24"/>
          <w:szCs w:val="24"/>
          <w:lang w:eastAsia="fr-FR"/>
        </w:rPr>
      </w:pPr>
      <w:r w:rsidRPr="00DC61A0">
        <w:rPr>
          <w:rFonts w:eastAsia="Times New Roman" w:cstheme="minorHAnsi"/>
          <w:color w:val="000000"/>
          <w:sz w:val="24"/>
          <w:szCs w:val="24"/>
          <w:lang w:eastAsia="fr-FR"/>
        </w:rPr>
        <w:t>Les MCP sont basés sur un principe physique simple : lorsqu’un corps passe de l'état solide à l'état liquide, il absorbe une certaine quantité de chaleur et a contrario lorsqu’il passe de l’état liquide à l</w:t>
      </w:r>
      <w:r w:rsidR="002F32D7" w:rsidRPr="00DC61A0">
        <w:rPr>
          <w:rFonts w:eastAsia="Times New Roman" w:cstheme="minorHAnsi"/>
          <w:color w:val="000000"/>
          <w:sz w:val="24"/>
          <w:szCs w:val="24"/>
          <w:lang w:eastAsia="fr-FR"/>
        </w:rPr>
        <w:t>’</w:t>
      </w:r>
      <w:r w:rsidRPr="00DC61A0">
        <w:rPr>
          <w:rFonts w:eastAsia="Times New Roman" w:cstheme="minorHAnsi"/>
          <w:color w:val="000000"/>
          <w:sz w:val="24"/>
          <w:szCs w:val="24"/>
          <w:lang w:eastAsia="fr-FR"/>
        </w:rPr>
        <w:t>état</w:t>
      </w:r>
      <w:r w:rsidR="002F32D7" w:rsidRPr="00DC61A0">
        <w:rPr>
          <w:rFonts w:eastAsia="Times New Roman" w:cstheme="minorHAnsi"/>
          <w:color w:val="000000"/>
          <w:sz w:val="24"/>
          <w:szCs w:val="24"/>
          <w:lang w:eastAsia="fr-FR"/>
        </w:rPr>
        <w:t xml:space="preserve"> so</w:t>
      </w:r>
      <w:r w:rsidRPr="00DC61A0">
        <w:rPr>
          <w:rFonts w:eastAsia="Times New Roman" w:cstheme="minorHAnsi"/>
          <w:color w:val="000000"/>
          <w:sz w:val="24"/>
          <w:szCs w:val="24"/>
          <w:lang w:eastAsia="fr-FR"/>
        </w:rPr>
        <w:t>lide, il dégage de la chaleur</w:t>
      </w:r>
      <w:r w:rsidR="002F32D7" w:rsidRPr="00DC61A0">
        <w:rPr>
          <w:rFonts w:eastAsia="Times New Roman" w:cstheme="minorHAnsi"/>
          <w:color w:val="000000"/>
          <w:sz w:val="24"/>
          <w:szCs w:val="24"/>
          <w:lang w:eastAsia="fr-FR"/>
        </w:rPr>
        <w:t>.</w:t>
      </w:r>
    </w:p>
    <w:p w:rsidR="0041181C" w:rsidRPr="002F32D7" w:rsidRDefault="009F0D16" w:rsidP="0041181C">
      <w:pPr>
        <w:spacing w:line="240" w:lineRule="auto"/>
        <w:rPr>
          <w:rFonts w:eastAsia="Times New Roman" w:cstheme="minorHAnsi"/>
          <w:color w:val="000000"/>
          <w:lang w:eastAsia="fr-FR"/>
        </w:rPr>
      </w:pPr>
      <w:r w:rsidRPr="00DC61A0">
        <w:rPr>
          <w:rFonts w:eastAsia="Times New Roman" w:cstheme="minorHAnsi"/>
          <w:color w:val="000000"/>
          <w:sz w:val="24"/>
          <w:szCs w:val="24"/>
          <w:lang w:eastAsia="fr-FR"/>
        </w:rPr>
        <w:t xml:space="preserve">Les Matériaux à Changement de Phase sont généralement des microcapsules d’une paraffine spéciale dont la température de fusion est comprise entre 21 et 30 °C. </w:t>
      </w:r>
      <w:r w:rsidRPr="00DC61A0">
        <w:rPr>
          <w:rFonts w:eastAsia="Times New Roman" w:cstheme="minorHAnsi"/>
          <w:color w:val="000000"/>
          <w:sz w:val="24"/>
          <w:szCs w:val="24"/>
          <w:lang w:eastAsia="fr-FR"/>
        </w:rPr>
        <w:br/>
        <w:t xml:space="preserve">Ainsi, en été, lors des journées chaudes, les plaques de plâtre ou enduits contenant des MCP accumulent de la chaleur grâce à la liquéfaction de la paraffine contenue dans les microcapsules, ce qui a pour effet de ne pas transmettre de chaleur dans la pièce. Le </w:t>
      </w:r>
      <w:r w:rsidRPr="00DC61A0">
        <w:rPr>
          <w:rFonts w:eastAsia="Times New Roman" w:cstheme="minorHAnsi"/>
          <w:bCs/>
          <w:color w:val="000000"/>
          <w:sz w:val="24"/>
          <w:szCs w:val="24"/>
          <w:lang w:eastAsia="fr-FR"/>
        </w:rPr>
        <w:t>gain de température (rafraîchissement) peut aller jusqu'à 5°C, sans consommation d'énergie</w:t>
      </w:r>
      <w:r w:rsidRPr="00DC61A0">
        <w:rPr>
          <w:rFonts w:eastAsia="Times New Roman" w:cstheme="minorHAnsi"/>
          <w:color w:val="000000"/>
          <w:sz w:val="24"/>
          <w:szCs w:val="24"/>
          <w:lang w:eastAsia="fr-FR"/>
        </w:rPr>
        <w:t>!</w:t>
      </w:r>
      <w:r w:rsidRPr="00DC61A0">
        <w:rPr>
          <w:rFonts w:eastAsia="Times New Roman" w:cstheme="minorHAnsi"/>
          <w:color w:val="000000"/>
          <w:sz w:val="24"/>
          <w:szCs w:val="24"/>
          <w:lang w:eastAsia="fr-FR"/>
        </w:rPr>
        <w:br/>
        <w:t>La nuit, lorsque la température redescend grâce à l'apport d'air frais, la paraffine dans les</w:t>
      </w:r>
      <w:r w:rsidRPr="002F32D7">
        <w:rPr>
          <w:rFonts w:eastAsia="Times New Roman" w:cstheme="minorHAnsi"/>
          <w:color w:val="000000"/>
          <w:lang w:eastAsia="fr-FR"/>
        </w:rPr>
        <w:t xml:space="preserve"> </w:t>
      </w:r>
      <w:r w:rsidRPr="003867ED">
        <w:rPr>
          <w:rFonts w:eastAsia="Times New Roman" w:cstheme="minorHAnsi"/>
          <w:color w:val="000000"/>
          <w:sz w:val="24"/>
          <w:szCs w:val="24"/>
          <w:lang w:eastAsia="fr-FR"/>
        </w:rPr>
        <w:t>microcapsules se solidifie en restituant la chaleur accumulée.</w:t>
      </w:r>
      <w:r w:rsidR="0041181C" w:rsidRPr="003867ED">
        <w:rPr>
          <w:noProof/>
          <w:sz w:val="24"/>
          <w:szCs w:val="24"/>
          <w:lang w:eastAsia="fr-FR"/>
        </w:rPr>
        <w:drawing>
          <wp:inline distT="0" distB="0" distL="0" distR="0" wp14:anchorId="63243505" wp14:editId="7F12DEB3">
            <wp:extent cx="3213548" cy="3967166"/>
            <wp:effectExtent l="381000" t="0" r="34925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rot="5400000">
                      <a:off x="0" y="0"/>
                      <a:ext cx="3230569" cy="3988179"/>
                    </a:xfrm>
                    <a:prstGeom prst="rect">
                      <a:avLst/>
                    </a:prstGeom>
                    <a:noFill/>
                    <a:ln w="9525">
                      <a:noFill/>
                      <a:miter lim="800000"/>
                      <a:headEnd/>
                      <a:tailEnd/>
                    </a:ln>
                  </pic:spPr>
                </pic:pic>
              </a:graphicData>
            </a:graphic>
          </wp:inline>
        </w:drawing>
      </w:r>
    </w:p>
    <w:p w:rsidR="009F0D16" w:rsidRPr="0041181C" w:rsidRDefault="009F0D16" w:rsidP="009F0D16">
      <w:pPr>
        <w:autoSpaceDE w:val="0"/>
        <w:autoSpaceDN w:val="0"/>
        <w:adjustRightInd w:val="0"/>
        <w:spacing w:after="0" w:line="240" w:lineRule="auto"/>
        <w:rPr>
          <w:rFonts w:ascii="Arial" w:hAnsi="Arial" w:cs="Arial"/>
        </w:rPr>
      </w:pPr>
      <w:r w:rsidRPr="0041181C">
        <w:rPr>
          <w:rFonts w:ascii="Arial" w:hAnsi="Arial" w:cs="Arial"/>
          <w:b/>
          <w:sz w:val="24"/>
          <w:szCs w:val="24"/>
        </w:rPr>
        <w:t>Capacité thermique à pression constante du MCP,</w:t>
      </w:r>
      <w:r w:rsidRPr="0041181C">
        <w:rPr>
          <w:rFonts w:ascii="Arial" w:hAnsi="Arial" w:cs="Arial"/>
          <w:sz w:val="24"/>
          <w:szCs w:val="24"/>
        </w:rPr>
        <w:t xml:space="preserve"> à base de  paraffine, entre 15°C et 35°C. </w:t>
      </w:r>
    </w:p>
    <w:p w:rsidR="009F0D16" w:rsidRDefault="00847E05" w:rsidP="009F0D16">
      <w:pPr>
        <w:jc w:val="both"/>
        <w:rPr>
          <w:rFonts w:ascii="Comic Sans MS" w:hAnsi="Comic Sans MS"/>
        </w:rPr>
      </w:pPr>
      <w:r>
        <w:rPr>
          <w:rFonts w:ascii="Comic Sans MS" w:hAnsi="Comic Sans MS"/>
          <w:noProof/>
          <w:lang w:eastAsia="fr-FR"/>
        </w:rPr>
        <w:pict>
          <v:shape id="_x0000_s1039" type="#_x0000_t202" style="position:absolute;left:0;text-align:left;margin-left:3.4pt;margin-top:14.35pt;width:438.75pt;height:198.75pt;z-index:251664384;mso-wrap-style:none" strokecolor="white [3212]">
            <v:textbox style="mso-fit-shape-to-text:t">
              <w:txbxContent>
                <w:p w:rsidR="009F0D16" w:rsidRDefault="009F0D16" w:rsidP="009F0D16">
                  <w:r>
                    <w:rPr>
                      <w:noProof/>
                      <w:lang w:eastAsia="fr-FR"/>
                    </w:rPr>
                    <w:drawing>
                      <wp:inline distT="0" distB="0" distL="0" distR="0">
                        <wp:extent cx="5372100" cy="2657475"/>
                        <wp:effectExtent l="19050" t="0" r="0" b="0"/>
                        <wp:docPr id="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5372100" cy="2657475"/>
                                </a:xfrm>
                                <a:prstGeom prst="rect">
                                  <a:avLst/>
                                </a:prstGeom>
                                <a:noFill/>
                                <a:ln w="9525">
                                  <a:noFill/>
                                  <a:miter lim="800000"/>
                                  <a:headEnd/>
                                  <a:tailEnd/>
                                </a:ln>
                              </pic:spPr>
                            </pic:pic>
                          </a:graphicData>
                        </a:graphic>
                      </wp:inline>
                    </w:drawing>
                  </w:r>
                </w:p>
              </w:txbxContent>
            </v:textbox>
          </v:shape>
        </w:pict>
      </w: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9F0D16" w:rsidRDefault="009F0D16" w:rsidP="009F0D16">
      <w:pPr>
        <w:jc w:val="both"/>
        <w:rPr>
          <w:rFonts w:ascii="Comic Sans MS" w:hAnsi="Comic Sans MS"/>
        </w:rPr>
      </w:pPr>
    </w:p>
    <w:p w:rsidR="005A1A53" w:rsidRDefault="005A1A53" w:rsidP="009F0D16">
      <w:pPr>
        <w:jc w:val="both"/>
        <w:rPr>
          <w:rFonts w:ascii="Comic Sans MS" w:hAnsi="Comic Sans MS"/>
        </w:rPr>
      </w:pPr>
    </w:p>
    <w:p w:rsidR="005A1A53" w:rsidRDefault="005A1A53" w:rsidP="005A1A53">
      <w:pPr>
        <w:pStyle w:val="Titre1numrot"/>
      </w:pPr>
      <w:r>
        <w:t>Pistes d’exploitation</w:t>
      </w:r>
    </w:p>
    <w:p w:rsidR="002F32D7" w:rsidRPr="002F32D7" w:rsidRDefault="002F32D7" w:rsidP="002F32D7">
      <w:pPr>
        <w:pStyle w:val="Paragraphe"/>
      </w:pPr>
    </w:p>
    <w:p w:rsidR="00DC61A0" w:rsidRPr="0041181C" w:rsidRDefault="0041181C" w:rsidP="00DC61A0">
      <w:pPr>
        <w:pStyle w:val="Titre2numrot"/>
        <w:numPr>
          <w:ilvl w:val="0"/>
          <w:numId w:val="10"/>
        </w:numPr>
        <w:rPr>
          <w:b w:val="0"/>
          <w:color w:val="auto"/>
          <w:sz w:val="24"/>
        </w:rPr>
      </w:pPr>
      <w:r w:rsidRPr="0041181C">
        <w:rPr>
          <w:sz w:val="24"/>
        </w:rPr>
        <w:t>R</w:t>
      </w:r>
      <w:r w:rsidR="002F32D7" w:rsidRPr="0041181C">
        <w:rPr>
          <w:sz w:val="24"/>
        </w:rPr>
        <w:t xml:space="preserve">elatives au DPE : </w:t>
      </w:r>
      <w:r w:rsidR="009F0D16" w:rsidRPr="0041181C">
        <w:rPr>
          <w:b w:val="0"/>
          <w:color w:val="auto"/>
          <w:sz w:val="24"/>
        </w:rPr>
        <w:t>faire figurer</w:t>
      </w:r>
      <w:r w:rsidRPr="0041181C">
        <w:rPr>
          <w:b w:val="0"/>
          <w:color w:val="auto"/>
          <w:sz w:val="24"/>
        </w:rPr>
        <w:t xml:space="preserve"> le domaine de l’</w:t>
      </w:r>
      <w:r w:rsidR="009F0D16" w:rsidRPr="0041181C">
        <w:rPr>
          <w:b w:val="0"/>
          <w:color w:val="auto"/>
          <w:sz w:val="24"/>
        </w:rPr>
        <w:t>IR sur échelle des</w:t>
      </w:r>
      <w:r w:rsidRPr="0041181C">
        <w:rPr>
          <w:b w:val="0"/>
          <w:color w:val="auto"/>
          <w:sz w:val="24"/>
        </w:rPr>
        <w:t xml:space="preserve"> longueurs d’onde</w:t>
      </w:r>
      <w:r w:rsidR="009F0D16" w:rsidRPr="0041181C">
        <w:rPr>
          <w:b w:val="0"/>
          <w:color w:val="auto"/>
          <w:sz w:val="24"/>
        </w:rPr>
        <w:t xml:space="preserve">  </w:t>
      </w:r>
      <w:r w:rsidR="009F0D16" w:rsidRPr="0041181C">
        <w:rPr>
          <w:b w:val="0"/>
          <w:color w:val="auto"/>
          <w:sz w:val="24"/>
        </w:rPr>
        <w:sym w:font="Symbol" w:char="F06C"/>
      </w:r>
      <w:r w:rsidRPr="0041181C">
        <w:rPr>
          <w:b w:val="0"/>
          <w:color w:val="auto"/>
          <w:sz w:val="24"/>
        </w:rPr>
        <w:t xml:space="preserve"> des</w:t>
      </w:r>
      <w:r w:rsidR="009F0D16" w:rsidRPr="0041181C">
        <w:rPr>
          <w:b w:val="0"/>
          <w:color w:val="auto"/>
          <w:sz w:val="24"/>
        </w:rPr>
        <w:t xml:space="preserve"> ondes électromagnétiques, citer les différents modes de transfert évoqués + éventuellement questions sur fonctionnement du  « détecteur d’ondes »....</w:t>
      </w:r>
    </w:p>
    <w:p w:rsidR="009F0D16" w:rsidRPr="0041181C" w:rsidRDefault="00DC61A0" w:rsidP="002F32D7">
      <w:pPr>
        <w:pStyle w:val="Titre2numrot"/>
        <w:numPr>
          <w:ilvl w:val="0"/>
          <w:numId w:val="10"/>
        </w:numPr>
        <w:rPr>
          <w:b w:val="0"/>
          <w:color w:val="auto"/>
          <w:sz w:val="24"/>
        </w:rPr>
      </w:pPr>
      <w:r w:rsidRPr="0041181C">
        <w:rPr>
          <w:sz w:val="24"/>
        </w:rPr>
        <w:t>Relatives au choix de l’isolant</w:t>
      </w:r>
      <w:r w:rsidR="0041181C" w:rsidRPr="0041181C">
        <w:rPr>
          <w:sz w:val="24"/>
        </w:rPr>
        <w:t xml:space="preserve"> : </w:t>
      </w:r>
      <w:r w:rsidR="009F0D16" w:rsidRPr="0041181C">
        <w:rPr>
          <w:b w:val="0"/>
          <w:color w:val="auto"/>
          <w:sz w:val="24"/>
        </w:rPr>
        <w:t>travail sur unités et grandeurs (résistance et capacité thermique)</w:t>
      </w:r>
      <w:r w:rsidR="0041181C">
        <w:rPr>
          <w:b w:val="0"/>
          <w:color w:val="auto"/>
          <w:sz w:val="24"/>
        </w:rPr>
        <w:t> ;</w:t>
      </w:r>
      <w:r w:rsidR="009F0D16" w:rsidRPr="0041181C">
        <w:rPr>
          <w:b w:val="0"/>
          <w:color w:val="auto"/>
          <w:sz w:val="24"/>
        </w:rPr>
        <w:t xml:space="preserve">  choix du matériau en tenant compte de différents facteurs ; interprétation </w:t>
      </w:r>
      <w:r w:rsidR="003568B5">
        <w:rPr>
          <w:b w:val="0"/>
          <w:color w:val="auto"/>
          <w:sz w:val="24"/>
        </w:rPr>
        <w:t xml:space="preserve">du </w:t>
      </w:r>
      <w:r w:rsidR="009F0D16" w:rsidRPr="0041181C">
        <w:rPr>
          <w:b w:val="0"/>
          <w:color w:val="auto"/>
          <w:sz w:val="24"/>
        </w:rPr>
        <w:t xml:space="preserve">pont thermique et </w:t>
      </w:r>
      <w:r w:rsidR="003568B5">
        <w:rPr>
          <w:b w:val="0"/>
          <w:color w:val="auto"/>
          <w:sz w:val="24"/>
        </w:rPr>
        <w:t xml:space="preserve">du </w:t>
      </w:r>
      <w:r w:rsidR="009F0D16" w:rsidRPr="0041181C">
        <w:rPr>
          <w:b w:val="0"/>
          <w:color w:val="auto"/>
          <w:sz w:val="24"/>
        </w:rPr>
        <w:t>déphasage au niveau microscopique...</w:t>
      </w:r>
    </w:p>
    <w:p w:rsidR="009F0D16" w:rsidRPr="0041181C" w:rsidRDefault="0041181C" w:rsidP="0041181C">
      <w:pPr>
        <w:pStyle w:val="Titre2numrot"/>
        <w:numPr>
          <w:ilvl w:val="0"/>
          <w:numId w:val="10"/>
        </w:numPr>
        <w:rPr>
          <w:b w:val="0"/>
          <w:color w:val="auto"/>
          <w:sz w:val="24"/>
        </w:rPr>
      </w:pPr>
      <w:r>
        <w:rPr>
          <w:sz w:val="24"/>
        </w:rPr>
        <w:t>Relatives au MCP</w:t>
      </w:r>
      <w:r w:rsidRPr="0041181C">
        <w:rPr>
          <w:sz w:val="24"/>
        </w:rPr>
        <w:t xml:space="preserve"> : </w:t>
      </w:r>
      <w:r w:rsidR="009F0D16" w:rsidRPr="0041181C">
        <w:rPr>
          <w:b w:val="0"/>
          <w:color w:val="auto"/>
          <w:sz w:val="24"/>
        </w:rPr>
        <w:t>intérêt (exploitation 1</w:t>
      </w:r>
      <w:r w:rsidR="009F0D16" w:rsidRPr="0041181C">
        <w:rPr>
          <w:b w:val="0"/>
          <w:color w:val="auto"/>
          <w:sz w:val="24"/>
          <w:vertAlign w:val="superscript"/>
        </w:rPr>
        <w:t>er</w:t>
      </w:r>
      <w:r w:rsidR="009F0D16" w:rsidRPr="0041181C">
        <w:rPr>
          <w:b w:val="0"/>
          <w:color w:val="auto"/>
          <w:sz w:val="24"/>
        </w:rPr>
        <w:t xml:space="preserve"> graph</w:t>
      </w:r>
      <w:r>
        <w:rPr>
          <w:b w:val="0"/>
          <w:color w:val="auto"/>
          <w:sz w:val="24"/>
        </w:rPr>
        <w:t>e</w:t>
      </w:r>
      <w:r w:rsidR="009F0D16" w:rsidRPr="0041181C">
        <w:rPr>
          <w:b w:val="0"/>
          <w:color w:val="auto"/>
          <w:sz w:val="24"/>
        </w:rPr>
        <w:t>)</w:t>
      </w:r>
      <w:r w:rsidR="003568B5">
        <w:rPr>
          <w:b w:val="0"/>
          <w:color w:val="auto"/>
          <w:sz w:val="24"/>
        </w:rPr>
        <w:t> ;</w:t>
      </w:r>
      <w:r w:rsidR="009F0D16" w:rsidRPr="0041181C">
        <w:rPr>
          <w:b w:val="0"/>
          <w:color w:val="auto"/>
          <w:sz w:val="24"/>
        </w:rPr>
        <w:t xml:space="preserve"> comment expliquer au niveau microscopique que de l’énergie est absorbée lors du passage de l’état solide à liquide</w:t>
      </w:r>
      <w:r w:rsidR="003568B5">
        <w:rPr>
          <w:b w:val="0"/>
          <w:color w:val="auto"/>
          <w:sz w:val="24"/>
        </w:rPr>
        <w:t> ;</w:t>
      </w:r>
      <w:r w:rsidR="009F0D16" w:rsidRPr="0041181C">
        <w:rPr>
          <w:b w:val="0"/>
          <w:color w:val="auto"/>
          <w:sz w:val="24"/>
        </w:rPr>
        <w:t xml:space="preserve"> comment évolue Cp en fonction de T (2</w:t>
      </w:r>
      <w:r w:rsidR="009F0D16" w:rsidRPr="0041181C">
        <w:rPr>
          <w:b w:val="0"/>
          <w:color w:val="auto"/>
          <w:sz w:val="24"/>
          <w:vertAlign w:val="superscript"/>
        </w:rPr>
        <w:t>ème</w:t>
      </w:r>
      <w:r w:rsidR="009F0D16" w:rsidRPr="0041181C">
        <w:rPr>
          <w:b w:val="0"/>
          <w:color w:val="auto"/>
          <w:sz w:val="24"/>
        </w:rPr>
        <w:t xml:space="preserve"> graph</w:t>
      </w:r>
      <w:r>
        <w:rPr>
          <w:b w:val="0"/>
          <w:color w:val="auto"/>
          <w:sz w:val="24"/>
        </w:rPr>
        <w:t>e</w:t>
      </w:r>
      <w:r w:rsidR="009F0D16" w:rsidRPr="0041181C">
        <w:rPr>
          <w:b w:val="0"/>
          <w:color w:val="auto"/>
          <w:sz w:val="24"/>
        </w:rPr>
        <w:t>)</w:t>
      </w:r>
      <w:r>
        <w:rPr>
          <w:b w:val="0"/>
          <w:color w:val="auto"/>
          <w:sz w:val="24"/>
        </w:rPr>
        <w:t> ;</w:t>
      </w:r>
      <w:r w:rsidR="009F0D16" w:rsidRPr="0041181C">
        <w:rPr>
          <w:b w:val="0"/>
          <w:color w:val="auto"/>
          <w:sz w:val="24"/>
        </w:rPr>
        <w:t xml:space="preserve"> pourquoi max vers 28 °C....+ aspect critique (inconvénient d’une trop grande inertie dans les habitations secondaires ou anciennes).</w:t>
      </w:r>
    </w:p>
    <w:p w:rsidR="009F0D16" w:rsidRDefault="009F0D16" w:rsidP="009F0D16">
      <w:pPr>
        <w:jc w:val="both"/>
        <w:rPr>
          <w:rFonts w:ascii="Comic Sans MS" w:hAnsi="Comic Sans MS"/>
        </w:rPr>
      </w:pPr>
    </w:p>
    <w:p w:rsidR="00D96B19" w:rsidRPr="004A3D54" w:rsidRDefault="00D96B19" w:rsidP="00D96B19">
      <w:pPr>
        <w:pStyle w:val="Paragraphe"/>
      </w:pPr>
    </w:p>
    <w:sectPr w:rsidR="00D96B19" w:rsidRPr="004A3D54" w:rsidSect="00070B4A">
      <w:footerReference w:type="default" r:id="rId18"/>
      <w:pgSz w:w="11906" w:h="16838"/>
      <w:pgMar w:top="1134" w:right="1417" w:bottom="14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E05" w:rsidRDefault="00847E05" w:rsidP="004A1997">
      <w:pPr>
        <w:spacing w:after="0" w:line="240" w:lineRule="auto"/>
      </w:pPr>
      <w:r>
        <w:separator/>
      </w:r>
    </w:p>
  </w:endnote>
  <w:endnote w:type="continuationSeparator" w:id="0">
    <w:p w:rsidR="00847E05" w:rsidRDefault="00847E05" w:rsidP="004A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MS-Italic">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9"/>
      <w:gridCol w:w="929"/>
      <w:gridCol w:w="4180"/>
    </w:tblGrid>
    <w:tr w:rsidR="003322F6">
      <w:trPr>
        <w:trHeight w:val="151"/>
      </w:trPr>
      <w:tc>
        <w:tcPr>
          <w:tcW w:w="2250" w:type="pct"/>
          <w:tcBorders>
            <w:bottom w:val="single" w:sz="4" w:space="0" w:color="4F81BD" w:themeColor="accent1"/>
          </w:tcBorders>
        </w:tcPr>
        <w:p w:rsidR="003322F6" w:rsidRDefault="003322F6">
          <w:pPr>
            <w:pStyle w:val="En-tte"/>
            <w:rPr>
              <w:rFonts w:asciiTheme="majorHAnsi" w:eastAsiaTheme="majorEastAsia" w:hAnsiTheme="majorHAnsi" w:cstheme="majorBidi"/>
              <w:b/>
              <w:bCs/>
            </w:rPr>
          </w:pPr>
        </w:p>
      </w:tc>
      <w:tc>
        <w:tcPr>
          <w:tcW w:w="500" w:type="pct"/>
          <w:vMerge w:val="restart"/>
          <w:noWrap/>
          <w:vAlign w:val="center"/>
        </w:tcPr>
        <w:p w:rsidR="003322F6" w:rsidRDefault="003322F6">
          <w:pPr>
            <w:pStyle w:val="Sansinterligne"/>
            <w:rPr>
              <w:rFonts w:asciiTheme="majorHAnsi" w:hAnsiTheme="majorHAnsi"/>
            </w:rPr>
          </w:pPr>
          <w:r>
            <w:rPr>
              <w:rFonts w:asciiTheme="majorHAnsi" w:hAnsiTheme="majorHAnsi"/>
              <w:b/>
            </w:rPr>
            <w:t xml:space="preserve">Page </w:t>
          </w:r>
          <w:r w:rsidR="00113F53">
            <w:fldChar w:fldCharType="begin"/>
          </w:r>
          <w:r w:rsidR="00113F53">
            <w:instrText xml:space="preserve"> PAGE  \* MERGEFORMAT </w:instrText>
          </w:r>
          <w:r w:rsidR="00113F53">
            <w:fldChar w:fldCharType="separate"/>
          </w:r>
          <w:r w:rsidR="00847E05" w:rsidRPr="00847E05">
            <w:rPr>
              <w:rFonts w:asciiTheme="majorHAnsi" w:hAnsiTheme="majorHAnsi"/>
              <w:b/>
              <w:noProof/>
            </w:rPr>
            <w:t>1</w:t>
          </w:r>
          <w:r w:rsidR="00113F53">
            <w:rPr>
              <w:rFonts w:asciiTheme="majorHAnsi" w:hAnsiTheme="majorHAnsi"/>
              <w:b/>
              <w:noProof/>
            </w:rPr>
            <w:fldChar w:fldCharType="end"/>
          </w:r>
        </w:p>
      </w:tc>
      <w:tc>
        <w:tcPr>
          <w:tcW w:w="2250" w:type="pct"/>
          <w:tcBorders>
            <w:bottom w:val="single" w:sz="4" w:space="0" w:color="4F81BD" w:themeColor="accent1"/>
          </w:tcBorders>
        </w:tcPr>
        <w:p w:rsidR="003322F6" w:rsidRDefault="003322F6">
          <w:pPr>
            <w:pStyle w:val="En-tte"/>
            <w:rPr>
              <w:rFonts w:asciiTheme="majorHAnsi" w:eastAsiaTheme="majorEastAsia" w:hAnsiTheme="majorHAnsi" w:cstheme="majorBidi"/>
              <w:b/>
              <w:bCs/>
            </w:rPr>
          </w:pPr>
        </w:p>
      </w:tc>
    </w:tr>
    <w:tr w:rsidR="003322F6">
      <w:trPr>
        <w:trHeight w:val="150"/>
      </w:trPr>
      <w:tc>
        <w:tcPr>
          <w:tcW w:w="2250" w:type="pct"/>
          <w:tcBorders>
            <w:top w:val="single" w:sz="4" w:space="0" w:color="4F81BD" w:themeColor="accent1"/>
          </w:tcBorders>
        </w:tcPr>
        <w:p w:rsidR="003322F6" w:rsidRDefault="003322F6">
          <w:pPr>
            <w:pStyle w:val="En-tte"/>
            <w:rPr>
              <w:rFonts w:asciiTheme="majorHAnsi" w:eastAsiaTheme="majorEastAsia" w:hAnsiTheme="majorHAnsi" w:cstheme="majorBidi"/>
              <w:b/>
              <w:bCs/>
            </w:rPr>
          </w:pPr>
        </w:p>
      </w:tc>
      <w:tc>
        <w:tcPr>
          <w:tcW w:w="500" w:type="pct"/>
          <w:vMerge/>
        </w:tcPr>
        <w:p w:rsidR="003322F6" w:rsidRDefault="003322F6">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3322F6" w:rsidRDefault="003322F6">
          <w:pPr>
            <w:pStyle w:val="En-tte"/>
            <w:rPr>
              <w:rFonts w:asciiTheme="majorHAnsi" w:eastAsiaTheme="majorEastAsia" w:hAnsiTheme="majorHAnsi" w:cstheme="majorBidi"/>
              <w:b/>
              <w:bCs/>
            </w:rPr>
          </w:pPr>
        </w:p>
      </w:tc>
    </w:tr>
  </w:tbl>
  <w:p w:rsidR="003322F6" w:rsidRDefault="003322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E05" w:rsidRDefault="00847E05" w:rsidP="004A1997">
      <w:pPr>
        <w:spacing w:after="0" w:line="240" w:lineRule="auto"/>
      </w:pPr>
      <w:r>
        <w:separator/>
      </w:r>
    </w:p>
  </w:footnote>
  <w:footnote w:type="continuationSeparator" w:id="0">
    <w:p w:rsidR="00847E05" w:rsidRDefault="00847E05" w:rsidP="004A1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130B"/>
    <w:multiLevelType w:val="hybridMultilevel"/>
    <w:tmpl w:val="255202E4"/>
    <w:lvl w:ilvl="0" w:tplc="89588AF4">
      <w:start w:val="1"/>
      <w:numFmt w:val="decimal"/>
      <w:pStyle w:val="Titre1numrot"/>
      <w:lvlText w:val="%1."/>
      <w:lvlJc w:val="left"/>
      <w:pPr>
        <w:tabs>
          <w:tab w:val="num" w:pos="0"/>
        </w:tabs>
        <w:ind w:left="284" w:hanging="284"/>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41D24710"/>
    <w:multiLevelType w:val="hybridMultilevel"/>
    <w:tmpl w:val="A06A6D6E"/>
    <w:lvl w:ilvl="0" w:tplc="C608AACA">
      <w:start w:val="1"/>
      <w:numFmt w:val="decimal"/>
      <w:lvlText w:val="%1."/>
      <w:lvlJc w:val="left"/>
      <w:pPr>
        <w:ind w:left="644" w:hanging="360"/>
      </w:pPr>
      <w:rPr>
        <w:rFonts w:hint="default"/>
        <w:b/>
        <w:color w:val="3229A7"/>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47B70C25"/>
    <w:multiLevelType w:val="hybridMultilevel"/>
    <w:tmpl w:val="E586D940"/>
    <w:lvl w:ilvl="0" w:tplc="F3E05AC0">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4895C0C"/>
    <w:multiLevelType w:val="hybridMultilevel"/>
    <w:tmpl w:val="1344752A"/>
    <w:lvl w:ilvl="0" w:tplc="D9588EEA">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5455338"/>
    <w:multiLevelType w:val="hybridMultilevel"/>
    <w:tmpl w:val="4DCC1F28"/>
    <w:lvl w:ilvl="0" w:tplc="B448DD52">
      <w:numFmt w:val="bullet"/>
      <w:lvlText w:val="-"/>
      <w:lvlJc w:val="left"/>
      <w:pPr>
        <w:tabs>
          <w:tab w:val="num" w:pos="2265"/>
        </w:tabs>
        <w:ind w:left="2265" w:hanging="360"/>
      </w:pPr>
      <w:rPr>
        <w:rFonts w:ascii="Arial" w:eastAsia="Times New Roman" w:hAnsi="Arial" w:cs="Arial" w:hint="default"/>
      </w:rPr>
    </w:lvl>
    <w:lvl w:ilvl="1" w:tplc="040C0003" w:tentative="1">
      <w:start w:val="1"/>
      <w:numFmt w:val="bullet"/>
      <w:lvlText w:val="o"/>
      <w:lvlJc w:val="left"/>
      <w:pPr>
        <w:tabs>
          <w:tab w:val="num" w:pos="2985"/>
        </w:tabs>
        <w:ind w:left="2985" w:hanging="360"/>
      </w:pPr>
      <w:rPr>
        <w:rFonts w:ascii="Courier New" w:hAnsi="Courier New" w:cs="Courier New" w:hint="default"/>
      </w:rPr>
    </w:lvl>
    <w:lvl w:ilvl="2" w:tplc="040C0005" w:tentative="1">
      <w:start w:val="1"/>
      <w:numFmt w:val="bullet"/>
      <w:lvlText w:val=""/>
      <w:lvlJc w:val="left"/>
      <w:pPr>
        <w:tabs>
          <w:tab w:val="num" w:pos="3705"/>
        </w:tabs>
        <w:ind w:left="3705" w:hanging="360"/>
      </w:pPr>
      <w:rPr>
        <w:rFonts w:ascii="Wingdings" w:hAnsi="Wingdings" w:hint="default"/>
      </w:rPr>
    </w:lvl>
    <w:lvl w:ilvl="3" w:tplc="040C0001" w:tentative="1">
      <w:start w:val="1"/>
      <w:numFmt w:val="bullet"/>
      <w:lvlText w:val=""/>
      <w:lvlJc w:val="left"/>
      <w:pPr>
        <w:tabs>
          <w:tab w:val="num" w:pos="4425"/>
        </w:tabs>
        <w:ind w:left="4425" w:hanging="360"/>
      </w:pPr>
      <w:rPr>
        <w:rFonts w:ascii="Symbol" w:hAnsi="Symbol" w:hint="default"/>
      </w:rPr>
    </w:lvl>
    <w:lvl w:ilvl="4" w:tplc="040C0003" w:tentative="1">
      <w:start w:val="1"/>
      <w:numFmt w:val="bullet"/>
      <w:lvlText w:val="o"/>
      <w:lvlJc w:val="left"/>
      <w:pPr>
        <w:tabs>
          <w:tab w:val="num" w:pos="5145"/>
        </w:tabs>
        <w:ind w:left="5145" w:hanging="360"/>
      </w:pPr>
      <w:rPr>
        <w:rFonts w:ascii="Courier New" w:hAnsi="Courier New" w:cs="Courier New" w:hint="default"/>
      </w:rPr>
    </w:lvl>
    <w:lvl w:ilvl="5" w:tplc="040C0005" w:tentative="1">
      <w:start w:val="1"/>
      <w:numFmt w:val="bullet"/>
      <w:lvlText w:val=""/>
      <w:lvlJc w:val="left"/>
      <w:pPr>
        <w:tabs>
          <w:tab w:val="num" w:pos="5865"/>
        </w:tabs>
        <w:ind w:left="5865" w:hanging="360"/>
      </w:pPr>
      <w:rPr>
        <w:rFonts w:ascii="Wingdings" w:hAnsi="Wingdings" w:hint="default"/>
      </w:rPr>
    </w:lvl>
    <w:lvl w:ilvl="6" w:tplc="040C0001" w:tentative="1">
      <w:start w:val="1"/>
      <w:numFmt w:val="bullet"/>
      <w:lvlText w:val=""/>
      <w:lvlJc w:val="left"/>
      <w:pPr>
        <w:tabs>
          <w:tab w:val="num" w:pos="6585"/>
        </w:tabs>
        <w:ind w:left="6585" w:hanging="360"/>
      </w:pPr>
      <w:rPr>
        <w:rFonts w:ascii="Symbol" w:hAnsi="Symbol" w:hint="default"/>
      </w:rPr>
    </w:lvl>
    <w:lvl w:ilvl="7" w:tplc="040C0003" w:tentative="1">
      <w:start w:val="1"/>
      <w:numFmt w:val="bullet"/>
      <w:lvlText w:val="o"/>
      <w:lvlJc w:val="left"/>
      <w:pPr>
        <w:tabs>
          <w:tab w:val="num" w:pos="7305"/>
        </w:tabs>
        <w:ind w:left="7305" w:hanging="360"/>
      </w:pPr>
      <w:rPr>
        <w:rFonts w:ascii="Courier New" w:hAnsi="Courier New" w:cs="Courier New" w:hint="default"/>
      </w:rPr>
    </w:lvl>
    <w:lvl w:ilvl="8" w:tplc="040C0005" w:tentative="1">
      <w:start w:val="1"/>
      <w:numFmt w:val="bullet"/>
      <w:lvlText w:val=""/>
      <w:lvlJc w:val="left"/>
      <w:pPr>
        <w:tabs>
          <w:tab w:val="num" w:pos="8025"/>
        </w:tabs>
        <w:ind w:left="8025" w:hanging="360"/>
      </w:pPr>
      <w:rPr>
        <w:rFonts w:ascii="Wingdings" w:hAnsi="Wingdings" w:hint="default"/>
      </w:rPr>
    </w:lvl>
  </w:abstractNum>
  <w:abstractNum w:abstractNumId="5">
    <w:nsid w:val="676B33E4"/>
    <w:multiLevelType w:val="hybridMultilevel"/>
    <w:tmpl w:val="BB2AD174"/>
    <w:lvl w:ilvl="0" w:tplc="F6965C00">
      <w:start w:val="1"/>
      <w:numFmt w:val="decimal"/>
      <w:pStyle w:val="Titre2numrot"/>
      <w:lvlText w:val="%1."/>
      <w:lvlJc w:val="left"/>
      <w:pPr>
        <w:tabs>
          <w:tab w:val="num" w:pos="0"/>
        </w:tabs>
        <w:ind w:left="284"/>
      </w:pPr>
      <w:rPr>
        <w:rFonts w:cs="Times New Roman" w:hint="default"/>
      </w:rPr>
    </w:lvl>
    <w:lvl w:ilvl="1" w:tplc="040C0019" w:tentative="1">
      <w:start w:val="1"/>
      <w:numFmt w:val="lowerLetter"/>
      <w:lvlText w:val="%2."/>
      <w:lvlJc w:val="left"/>
      <w:pPr>
        <w:tabs>
          <w:tab w:val="num" w:pos="1724"/>
        </w:tabs>
        <w:ind w:left="1724" w:hanging="360"/>
      </w:pPr>
      <w:rPr>
        <w:rFonts w:cs="Times New Roman"/>
      </w:rPr>
    </w:lvl>
    <w:lvl w:ilvl="2" w:tplc="040C001B" w:tentative="1">
      <w:start w:val="1"/>
      <w:numFmt w:val="lowerRoman"/>
      <w:lvlText w:val="%3."/>
      <w:lvlJc w:val="right"/>
      <w:pPr>
        <w:tabs>
          <w:tab w:val="num" w:pos="2444"/>
        </w:tabs>
        <w:ind w:left="2444" w:hanging="180"/>
      </w:pPr>
      <w:rPr>
        <w:rFonts w:cs="Times New Roman"/>
      </w:rPr>
    </w:lvl>
    <w:lvl w:ilvl="3" w:tplc="040C000F" w:tentative="1">
      <w:start w:val="1"/>
      <w:numFmt w:val="decimal"/>
      <w:lvlText w:val="%4."/>
      <w:lvlJc w:val="left"/>
      <w:pPr>
        <w:tabs>
          <w:tab w:val="num" w:pos="3164"/>
        </w:tabs>
        <w:ind w:left="3164" w:hanging="360"/>
      </w:pPr>
      <w:rPr>
        <w:rFonts w:cs="Times New Roman"/>
      </w:rPr>
    </w:lvl>
    <w:lvl w:ilvl="4" w:tplc="040C0019" w:tentative="1">
      <w:start w:val="1"/>
      <w:numFmt w:val="lowerLetter"/>
      <w:lvlText w:val="%5."/>
      <w:lvlJc w:val="left"/>
      <w:pPr>
        <w:tabs>
          <w:tab w:val="num" w:pos="3884"/>
        </w:tabs>
        <w:ind w:left="3884" w:hanging="360"/>
      </w:pPr>
      <w:rPr>
        <w:rFonts w:cs="Times New Roman"/>
      </w:rPr>
    </w:lvl>
    <w:lvl w:ilvl="5" w:tplc="040C001B" w:tentative="1">
      <w:start w:val="1"/>
      <w:numFmt w:val="lowerRoman"/>
      <w:lvlText w:val="%6."/>
      <w:lvlJc w:val="right"/>
      <w:pPr>
        <w:tabs>
          <w:tab w:val="num" w:pos="4604"/>
        </w:tabs>
        <w:ind w:left="4604" w:hanging="180"/>
      </w:pPr>
      <w:rPr>
        <w:rFonts w:cs="Times New Roman"/>
      </w:rPr>
    </w:lvl>
    <w:lvl w:ilvl="6" w:tplc="040C000F" w:tentative="1">
      <w:start w:val="1"/>
      <w:numFmt w:val="decimal"/>
      <w:lvlText w:val="%7."/>
      <w:lvlJc w:val="left"/>
      <w:pPr>
        <w:tabs>
          <w:tab w:val="num" w:pos="5324"/>
        </w:tabs>
        <w:ind w:left="5324" w:hanging="360"/>
      </w:pPr>
      <w:rPr>
        <w:rFonts w:cs="Times New Roman"/>
      </w:rPr>
    </w:lvl>
    <w:lvl w:ilvl="7" w:tplc="040C0019" w:tentative="1">
      <w:start w:val="1"/>
      <w:numFmt w:val="lowerLetter"/>
      <w:lvlText w:val="%8."/>
      <w:lvlJc w:val="left"/>
      <w:pPr>
        <w:tabs>
          <w:tab w:val="num" w:pos="6044"/>
        </w:tabs>
        <w:ind w:left="6044" w:hanging="360"/>
      </w:pPr>
      <w:rPr>
        <w:rFonts w:cs="Times New Roman"/>
      </w:rPr>
    </w:lvl>
    <w:lvl w:ilvl="8" w:tplc="040C001B" w:tentative="1">
      <w:start w:val="1"/>
      <w:numFmt w:val="lowerRoman"/>
      <w:lvlText w:val="%9."/>
      <w:lvlJc w:val="right"/>
      <w:pPr>
        <w:tabs>
          <w:tab w:val="num" w:pos="6764"/>
        </w:tabs>
        <w:ind w:left="6764" w:hanging="180"/>
      </w:pPr>
      <w:rPr>
        <w:rFonts w:cs="Times New Roman"/>
      </w:rPr>
    </w:lvl>
  </w:abstractNum>
  <w:num w:numId="1">
    <w:abstractNumId w:val="3"/>
  </w:num>
  <w:num w:numId="2">
    <w:abstractNumId w:val="4"/>
  </w:num>
  <w:num w:numId="3">
    <w:abstractNumId w:val="0"/>
  </w:num>
  <w:num w:numId="4">
    <w:abstractNumId w:val="5"/>
  </w:num>
  <w:num w:numId="5">
    <w:abstractNumId w:val="5"/>
  </w:num>
  <w:num w:numId="6">
    <w:abstractNumId w:val="5"/>
  </w:num>
  <w:num w:numId="7">
    <w:abstractNumId w:val="5"/>
    <w:lvlOverride w:ilvl="0">
      <w:startOverride w:val="1"/>
    </w:lvlOverride>
  </w:num>
  <w:num w:numId="8">
    <w:abstractNumId w:val="2"/>
  </w:num>
  <w:num w:numId="9">
    <w:abstractNumId w:val="5"/>
    <w:lvlOverride w:ilvl="0">
      <w:startOverride w:val="1"/>
    </w:lvlOverride>
  </w:num>
  <w:num w:numId="10">
    <w:abstractNumId w:val="1"/>
  </w:num>
  <w:num w:numId="11">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D722F"/>
    <w:rsid w:val="00070B4A"/>
    <w:rsid w:val="0010179B"/>
    <w:rsid w:val="00113F53"/>
    <w:rsid w:val="001317DC"/>
    <w:rsid w:val="002F32D7"/>
    <w:rsid w:val="003322F6"/>
    <w:rsid w:val="003568B5"/>
    <w:rsid w:val="003867ED"/>
    <w:rsid w:val="003967B3"/>
    <w:rsid w:val="003C0E36"/>
    <w:rsid w:val="0041181C"/>
    <w:rsid w:val="0042089F"/>
    <w:rsid w:val="00495D13"/>
    <w:rsid w:val="004A1997"/>
    <w:rsid w:val="004D722F"/>
    <w:rsid w:val="0052714F"/>
    <w:rsid w:val="005834D0"/>
    <w:rsid w:val="00590544"/>
    <w:rsid w:val="005A1A53"/>
    <w:rsid w:val="005A46BF"/>
    <w:rsid w:val="005F5CC0"/>
    <w:rsid w:val="00602427"/>
    <w:rsid w:val="00656656"/>
    <w:rsid w:val="00656F5B"/>
    <w:rsid w:val="006942F0"/>
    <w:rsid w:val="00773F10"/>
    <w:rsid w:val="00847E05"/>
    <w:rsid w:val="008B29FF"/>
    <w:rsid w:val="009154D6"/>
    <w:rsid w:val="00980734"/>
    <w:rsid w:val="00990385"/>
    <w:rsid w:val="009D3EDF"/>
    <w:rsid w:val="009F0D16"/>
    <w:rsid w:val="00A36CD7"/>
    <w:rsid w:val="00C869CE"/>
    <w:rsid w:val="00C96B8E"/>
    <w:rsid w:val="00CA40A5"/>
    <w:rsid w:val="00CE4BEE"/>
    <w:rsid w:val="00CF6B0C"/>
    <w:rsid w:val="00D05C2A"/>
    <w:rsid w:val="00D73417"/>
    <w:rsid w:val="00D96B19"/>
    <w:rsid w:val="00DB14F6"/>
    <w:rsid w:val="00DC61A0"/>
    <w:rsid w:val="00E950F8"/>
    <w:rsid w:val="00F6089F"/>
    <w:rsid w:val="00F633DD"/>
    <w:rsid w:val="00F77D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544"/>
  </w:style>
  <w:style w:type="paragraph" w:styleId="Titre1">
    <w:name w:val="heading 1"/>
    <w:basedOn w:val="Normal"/>
    <w:next w:val="Normal"/>
    <w:link w:val="Titre1Car"/>
    <w:uiPriority w:val="9"/>
    <w:qFormat/>
    <w:rsid w:val="00D96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77D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72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722F"/>
    <w:rPr>
      <w:rFonts w:ascii="Tahoma" w:hAnsi="Tahoma" w:cs="Tahoma"/>
      <w:sz w:val="16"/>
      <w:szCs w:val="16"/>
    </w:rPr>
  </w:style>
  <w:style w:type="paragraph" w:styleId="En-tte">
    <w:name w:val="header"/>
    <w:basedOn w:val="Normal"/>
    <w:link w:val="En-tteCar"/>
    <w:uiPriority w:val="99"/>
    <w:unhideWhenUsed/>
    <w:rsid w:val="004A1997"/>
    <w:pPr>
      <w:tabs>
        <w:tab w:val="center" w:pos="4536"/>
        <w:tab w:val="right" w:pos="9072"/>
      </w:tabs>
      <w:spacing w:after="0" w:line="240" w:lineRule="auto"/>
    </w:pPr>
  </w:style>
  <w:style w:type="character" w:customStyle="1" w:styleId="En-tteCar">
    <w:name w:val="En-tête Car"/>
    <w:basedOn w:val="Policepardfaut"/>
    <w:link w:val="En-tte"/>
    <w:uiPriority w:val="99"/>
    <w:rsid w:val="004A1997"/>
  </w:style>
  <w:style w:type="paragraph" w:styleId="Pieddepage">
    <w:name w:val="footer"/>
    <w:basedOn w:val="Normal"/>
    <w:link w:val="PieddepageCar"/>
    <w:uiPriority w:val="99"/>
    <w:unhideWhenUsed/>
    <w:rsid w:val="004A19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1997"/>
  </w:style>
  <w:style w:type="character" w:styleId="CitationHTML">
    <w:name w:val="HTML Cite"/>
    <w:basedOn w:val="Policepardfaut"/>
    <w:uiPriority w:val="99"/>
    <w:semiHidden/>
    <w:unhideWhenUsed/>
    <w:rsid w:val="00773F10"/>
    <w:rPr>
      <w:i/>
      <w:iCs/>
    </w:rPr>
  </w:style>
  <w:style w:type="character" w:styleId="Lienhypertexte">
    <w:name w:val="Hyperlink"/>
    <w:basedOn w:val="Policepardfaut"/>
    <w:uiPriority w:val="99"/>
    <w:unhideWhenUsed/>
    <w:rsid w:val="00773F10"/>
    <w:rPr>
      <w:rFonts w:ascii="Arial" w:hAnsi="Arial" w:cs="Arial" w:hint="default"/>
      <w:strike w:val="0"/>
      <w:dstrike w:val="0"/>
      <w:color w:val="1122CC"/>
      <w:u w:val="none"/>
      <w:effect w:val="none"/>
    </w:rPr>
  </w:style>
  <w:style w:type="character" w:customStyle="1" w:styleId="vshid">
    <w:name w:val="vshid"/>
    <w:basedOn w:val="Policepardfaut"/>
    <w:rsid w:val="00773F10"/>
  </w:style>
  <w:style w:type="paragraph" w:styleId="NormalWeb">
    <w:name w:val="Normal (Web)"/>
    <w:basedOn w:val="Normal"/>
    <w:unhideWhenUsed/>
    <w:rsid w:val="00773F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56656"/>
    <w:pPr>
      <w:ind w:left="720"/>
      <w:contextualSpacing/>
    </w:pPr>
  </w:style>
  <w:style w:type="character" w:styleId="Lienhypertextesuivivisit">
    <w:name w:val="FollowedHyperlink"/>
    <w:basedOn w:val="Policepardfaut"/>
    <w:uiPriority w:val="99"/>
    <w:semiHidden/>
    <w:unhideWhenUsed/>
    <w:rsid w:val="00070B4A"/>
    <w:rPr>
      <w:color w:val="800080" w:themeColor="followedHyperlink"/>
      <w:u w:val="single"/>
    </w:rPr>
  </w:style>
  <w:style w:type="paragraph" w:styleId="Sansinterligne">
    <w:name w:val="No Spacing"/>
    <w:link w:val="SansinterligneCar"/>
    <w:uiPriority w:val="1"/>
    <w:qFormat/>
    <w:rsid w:val="003322F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322F6"/>
    <w:rPr>
      <w:rFonts w:eastAsiaTheme="minorEastAsia"/>
    </w:rPr>
  </w:style>
  <w:style w:type="paragraph" w:customStyle="1" w:styleId="En-tetedepage">
    <w:name w:val="En-tete de page"/>
    <w:basedOn w:val="Normal"/>
    <w:uiPriority w:val="99"/>
    <w:rsid w:val="00D96B19"/>
    <w:pPr>
      <w:tabs>
        <w:tab w:val="center" w:pos="4536"/>
        <w:tab w:val="right" w:pos="9072"/>
      </w:tabs>
      <w:spacing w:before="60" w:after="240" w:line="240" w:lineRule="auto"/>
      <w:jc w:val="center"/>
    </w:pPr>
    <w:rPr>
      <w:rFonts w:ascii="Arial" w:eastAsia="Times New Roman" w:hAnsi="Arial" w:cs="Times New Roman"/>
      <w:b/>
      <w:color w:val="3229A7"/>
      <w:sz w:val="32"/>
      <w:szCs w:val="20"/>
      <w:lang w:eastAsia="fr-FR"/>
    </w:rPr>
  </w:style>
  <w:style w:type="paragraph" w:customStyle="1" w:styleId="Titre1numrot">
    <w:name w:val="Titre 1 numéroté"/>
    <w:basedOn w:val="Titre1"/>
    <w:next w:val="Paragraphe"/>
    <w:uiPriority w:val="99"/>
    <w:rsid w:val="00D96B19"/>
    <w:pPr>
      <w:keepLines w:val="0"/>
      <w:numPr>
        <w:numId w:val="3"/>
      </w:numPr>
      <w:pBdr>
        <w:bottom w:val="single" w:sz="12" w:space="1" w:color="8453C6"/>
      </w:pBdr>
      <w:spacing w:before="60" w:after="240" w:line="240" w:lineRule="auto"/>
    </w:pPr>
    <w:rPr>
      <w:rFonts w:ascii="Arial" w:eastAsia="Times New Roman" w:hAnsi="Arial" w:cs="Arial"/>
      <w:bCs w:val="0"/>
      <w:color w:val="8453C6"/>
      <w:spacing w:val="2"/>
      <w:lang w:eastAsia="fr-FR"/>
    </w:rPr>
  </w:style>
  <w:style w:type="paragraph" w:customStyle="1" w:styleId="Paragraphe">
    <w:name w:val="Paragraphe"/>
    <w:basedOn w:val="Normal"/>
    <w:uiPriority w:val="99"/>
    <w:rsid w:val="00D96B19"/>
    <w:pPr>
      <w:spacing w:before="180" w:after="180" w:line="240" w:lineRule="auto"/>
      <w:jc w:val="both"/>
    </w:pPr>
    <w:rPr>
      <w:rFonts w:ascii="Arial" w:eastAsia="Times New Roman" w:hAnsi="Arial" w:cs="Times New Roman"/>
      <w:sz w:val="20"/>
      <w:szCs w:val="20"/>
      <w:lang w:eastAsia="fr-FR"/>
    </w:rPr>
  </w:style>
  <w:style w:type="paragraph" w:customStyle="1" w:styleId="En-ttediscipline">
    <w:name w:val="En-tête_discipline"/>
    <w:basedOn w:val="Normal"/>
    <w:next w:val="Normal"/>
    <w:uiPriority w:val="99"/>
    <w:rsid w:val="00D96B19"/>
    <w:pPr>
      <w:spacing w:before="500" w:after="360" w:line="240" w:lineRule="auto"/>
      <w:jc w:val="right"/>
    </w:pPr>
    <w:rPr>
      <w:rFonts w:ascii="Century Gothic" w:eastAsia="Times New Roman" w:hAnsi="Century Gothic" w:cs="Times New Roman"/>
      <w:color w:val="8453C6"/>
      <w:sz w:val="36"/>
      <w:szCs w:val="20"/>
      <w:lang w:eastAsia="fr-FR"/>
    </w:rPr>
  </w:style>
  <w:style w:type="paragraph" w:customStyle="1" w:styleId="En-tteprogramme">
    <w:name w:val="En-tête programme"/>
    <w:basedOn w:val="Normal"/>
    <w:next w:val="Normal"/>
    <w:uiPriority w:val="99"/>
    <w:rsid w:val="00D96B19"/>
    <w:pPr>
      <w:pBdr>
        <w:bottom w:val="single" w:sz="4" w:space="1" w:color="8453C6"/>
      </w:pBdr>
      <w:spacing w:after="0" w:line="240" w:lineRule="auto"/>
      <w:jc w:val="right"/>
    </w:pPr>
    <w:rPr>
      <w:rFonts w:ascii="Century Gothic" w:eastAsia="Times New Roman" w:hAnsi="Century Gothic" w:cs="Times New Roman"/>
      <w:color w:val="3229A7"/>
      <w:sz w:val="20"/>
      <w:szCs w:val="20"/>
      <w:lang w:eastAsia="fr-FR"/>
    </w:rPr>
  </w:style>
  <w:style w:type="character" w:customStyle="1" w:styleId="Titre1Car">
    <w:name w:val="Titre 1 Car"/>
    <w:basedOn w:val="Policepardfaut"/>
    <w:link w:val="Titre1"/>
    <w:uiPriority w:val="9"/>
    <w:rsid w:val="00D96B19"/>
    <w:rPr>
      <w:rFonts w:asciiTheme="majorHAnsi" w:eastAsiaTheme="majorEastAsia" w:hAnsiTheme="majorHAnsi" w:cstheme="majorBidi"/>
      <w:b/>
      <w:bCs/>
      <w:color w:val="365F91" w:themeColor="accent1" w:themeShade="BF"/>
      <w:sz w:val="28"/>
      <w:szCs w:val="28"/>
    </w:rPr>
  </w:style>
  <w:style w:type="paragraph" w:customStyle="1" w:styleId="Titre2numrot">
    <w:name w:val="Titre 2 numéroté"/>
    <w:basedOn w:val="Titre2"/>
    <w:next w:val="Paragraphe"/>
    <w:uiPriority w:val="99"/>
    <w:rsid w:val="00F77D41"/>
    <w:pPr>
      <w:keepLines w:val="0"/>
      <w:numPr>
        <w:numId w:val="4"/>
      </w:numPr>
      <w:spacing w:before="240" w:after="120" w:line="240" w:lineRule="auto"/>
      <w:jc w:val="both"/>
    </w:pPr>
    <w:rPr>
      <w:rFonts w:ascii="Arial" w:eastAsia="Times New Roman" w:hAnsi="Arial" w:cs="Arial"/>
      <w:bCs w:val="0"/>
      <w:color w:val="3229A7"/>
      <w:sz w:val="22"/>
      <w:szCs w:val="24"/>
      <w:lang w:eastAsia="fr-FR"/>
    </w:rPr>
  </w:style>
  <w:style w:type="character" w:customStyle="1" w:styleId="Titre2Car">
    <w:name w:val="Titre 2 Car"/>
    <w:basedOn w:val="Policepardfaut"/>
    <w:link w:val="Titre2"/>
    <w:uiPriority w:val="9"/>
    <w:semiHidden/>
    <w:rsid w:val="00F77D4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9204">
      <w:bodyDiv w:val="1"/>
      <w:marLeft w:val="0"/>
      <w:marRight w:val="0"/>
      <w:marTop w:val="0"/>
      <w:marBottom w:val="0"/>
      <w:divBdr>
        <w:top w:val="none" w:sz="0" w:space="0" w:color="auto"/>
        <w:left w:val="none" w:sz="0" w:space="0" w:color="auto"/>
        <w:bottom w:val="none" w:sz="0" w:space="0" w:color="auto"/>
        <w:right w:val="none" w:sz="0" w:space="0" w:color="auto"/>
      </w:divBdr>
      <w:divsChild>
        <w:div w:id="2122263542">
          <w:marLeft w:val="0"/>
          <w:marRight w:val="0"/>
          <w:marTop w:val="0"/>
          <w:marBottom w:val="0"/>
          <w:divBdr>
            <w:top w:val="none" w:sz="0" w:space="0" w:color="auto"/>
            <w:left w:val="none" w:sz="0" w:space="0" w:color="auto"/>
            <w:bottom w:val="none" w:sz="0" w:space="0" w:color="auto"/>
            <w:right w:val="none" w:sz="0" w:space="0" w:color="auto"/>
          </w:divBdr>
          <w:divsChild>
            <w:div w:id="1486818044">
              <w:marLeft w:val="0"/>
              <w:marRight w:val="0"/>
              <w:marTop w:val="0"/>
              <w:marBottom w:val="0"/>
              <w:divBdr>
                <w:top w:val="none" w:sz="0" w:space="0" w:color="auto"/>
                <w:left w:val="none" w:sz="0" w:space="0" w:color="auto"/>
                <w:bottom w:val="none" w:sz="0" w:space="0" w:color="auto"/>
                <w:right w:val="none" w:sz="0" w:space="0" w:color="auto"/>
              </w:divBdr>
              <w:divsChild>
                <w:div w:id="2227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5285">
      <w:bodyDiv w:val="1"/>
      <w:marLeft w:val="0"/>
      <w:marRight w:val="0"/>
      <w:marTop w:val="0"/>
      <w:marBottom w:val="0"/>
      <w:divBdr>
        <w:top w:val="none" w:sz="0" w:space="0" w:color="auto"/>
        <w:left w:val="none" w:sz="0" w:space="0" w:color="auto"/>
        <w:bottom w:val="none" w:sz="0" w:space="0" w:color="auto"/>
        <w:right w:val="none" w:sz="0" w:space="0" w:color="auto"/>
      </w:divBdr>
      <w:divsChild>
        <w:div w:id="961886843">
          <w:marLeft w:val="0"/>
          <w:marRight w:val="0"/>
          <w:marTop w:val="0"/>
          <w:marBottom w:val="0"/>
          <w:divBdr>
            <w:top w:val="none" w:sz="0" w:space="0" w:color="auto"/>
            <w:left w:val="none" w:sz="0" w:space="0" w:color="auto"/>
            <w:bottom w:val="none" w:sz="0" w:space="0" w:color="auto"/>
            <w:right w:val="none" w:sz="0" w:space="0" w:color="auto"/>
          </w:divBdr>
          <w:divsChild>
            <w:div w:id="1501386669">
              <w:marLeft w:val="0"/>
              <w:marRight w:val="0"/>
              <w:marTop w:val="0"/>
              <w:marBottom w:val="0"/>
              <w:divBdr>
                <w:top w:val="none" w:sz="0" w:space="0" w:color="auto"/>
                <w:left w:val="none" w:sz="0" w:space="0" w:color="auto"/>
                <w:bottom w:val="none" w:sz="0" w:space="0" w:color="auto"/>
                <w:right w:val="none" w:sz="0" w:space="0" w:color="auto"/>
              </w:divBdr>
              <w:divsChild>
                <w:div w:id="1994678338">
                  <w:marLeft w:val="0"/>
                  <w:marRight w:val="0"/>
                  <w:marTop w:val="0"/>
                  <w:marBottom w:val="0"/>
                  <w:divBdr>
                    <w:top w:val="none" w:sz="0" w:space="0" w:color="auto"/>
                    <w:left w:val="none" w:sz="0" w:space="0" w:color="auto"/>
                    <w:bottom w:val="none" w:sz="0" w:space="0" w:color="auto"/>
                    <w:right w:val="none" w:sz="0" w:space="0" w:color="auto"/>
                  </w:divBdr>
                  <w:divsChild>
                    <w:div w:id="874580322">
                      <w:marLeft w:val="0"/>
                      <w:marRight w:val="0"/>
                      <w:marTop w:val="0"/>
                      <w:marBottom w:val="0"/>
                      <w:divBdr>
                        <w:top w:val="none" w:sz="0" w:space="0" w:color="auto"/>
                        <w:left w:val="none" w:sz="0" w:space="0" w:color="auto"/>
                        <w:bottom w:val="none" w:sz="0" w:space="0" w:color="auto"/>
                        <w:right w:val="none" w:sz="0" w:space="0" w:color="auto"/>
                      </w:divBdr>
                      <w:divsChild>
                        <w:div w:id="674694316">
                          <w:marLeft w:val="0"/>
                          <w:marRight w:val="0"/>
                          <w:marTop w:val="0"/>
                          <w:marBottom w:val="0"/>
                          <w:divBdr>
                            <w:top w:val="none" w:sz="0" w:space="0" w:color="auto"/>
                            <w:left w:val="none" w:sz="0" w:space="0" w:color="auto"/>
                            <w:bottom w:val="none" w:sz="0" w:space="0" w:color="auto"/>
                            <w:right w:val="none" w:sz="0" w:space="0" w:color="auto"/>
                          </w:divBdr>
                          <w:divsChild>
                            <w:div w:id="687635986">
                              <w:marLeft w:val="0"/>
                              <w:marRight w:val="0"/>
                              <w:marTop w:val="0"/>
                              <w:marBottom w:val="0"/>
                              <w:divBdr>
                                <w:top w:val="none" w:sz="0" w:space="0" w:color="auto"/>
                                <w:left w:val="none" w:sz="0" w:space="0" w:color="auto"/>
                                <w:bottom w:val="none" w:sz="0" w:space="0" w:color="auto"/>
                                <w:right w:val="none" w:sz="0" w:space="0" w:color="auto"/>
                              </w:divBdr>
                              <w:divsChild>
                                <w:div w:id="758135573">
                                  <w:marLeft w:val="0"/>
                                  <w:marRight w:val="0"/>
                                  <w:marTop w:val="0"/>
                                  <w:marBottom w:val="0"/>
                                  <w:divBdr>
                                    <w:top w:val="none" w:sz="0" w:space="0" w:color="auto"/>
                                    <w:left w:val="none" w:sz="0" w:space="0" w:color="auto"/>
                                    <w:bottom w:val="none" w:sz="0" w:space="0" w:color="auto"/>
                                    <w:right w:val="none" w:sz="0" w:space="0" w:color="auto"/>
                                  </w:divBdr>
                                  <w:divsChild>
                                    <w:div w:id="344404019">
                                      <w:marLeft w:val="0"/>
                                      <w:marRight w:val="0"/>
                                      <w:marTop w:val="0"/>
                                      <w:marBottom w:val="0"/>
                                      <w:divBdr>
                                        <w:top w:val="none" w:sz="0" w:space="0" w:color="auto"/>
                                        <w:left w:val="none" w:sz="0" w:space="0" w:color="auto"/>
                                        <w:bottom w:val="none" w:sz="0" w:space="0" w:color="auto"/>
                                        <w:right w:val="none" w:sz="0" w:space="0" w:color="auto"/>
                                      </w:divBdr>
                                      <w:divsChild>
                                        <w:div w:id="693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aue75.archi.fr/fileadmin/user_upload/Conseil/isolation_231109.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antier.net/documents/040311ap13.pdf"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ageden.org/index.php?module=webuploads&amp;func...67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dmagazine.com/1118-Comment-comparer-les-materiaux-de-construction.html"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25FB4-E8C8-446E-945A-C3BBA7A8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1028</Words>
  <Characters>5655</Characters>
  <Application>Microsoft Office Word</Application>
  <DocSecurity>0</DocSecurity>
  <Lines>47</Lines>
  <Paragraphs>13</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Quelques informations</vt:lpstr>
      <vt:lpstr>    La thermographie</vt:lpstr>
      <vt:lpstr>    Choix de l’isolant</vt:lpstr>
      <vt:lpstr>    Caractéristiques de quelques isolants</vt:lpstr>
      <vt:lpstr>    Amélioration de l’inertie thermique : les matériaux à changement de phase (MCP)</vt:lpstr>
      <vt:lpstr>Pistes d’exploitation</vt:lpstr>
      <vt:lpstr>    relatives au DPE : faire figurer IR sur échelle des  (, ondes électromagnétiques</vt:lpstr>
      <vt:lpstr>    Relatives au choix de l’isolant</vt:lpstr>
    </vt:vector>
  </TitlesOfParts>
  <Company>Hewlett-Packard</Company>
  <LinksUpToDate>false</LinksUpToDate>
  <CharactersWithSpaces>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joël</dc:creator>
  <cp:lastModifiedBy>LEVEQUE</cp:lastModifiedBy>
  <cp:revision>9</cp:revision>
  <dcterms:created xsi:type="dcterms:W3CDTF">2012-02-28T20:41:00Z</dcterms:created>
  <dcterms:modified xsi:type="dcterms:W3CDTF">2012-03-17T07:30:00Z</dcterms:modified>
</cp:coreProperties>
</file>