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526"/>
        <w:gridCol w:w="8360"/>
      </w:tblGrid>
      <w:tr w:rsidR="00585054" w:rsidRPr="005364E7" w:rsidTr="005364E7">
        <w:tc>
          <w:tcPr>
            <w:tcW w:w="1526" w:type="dxa"/>
          </w:tcPr>
          <w:p w:rsidR="00585054" w:rsidRPr="005364E7" w:rsidRDefault="0058505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360" w:type="dxa"/>
          </w:tcPr>
          <w:p w:rsidR="00585054" w:rsidRDefault="00585054" w:rsidP="0058505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Proposition de progression, programme de TS 2012 </w:t>
            </w:r>
          </w:p>
          <w:p w:rsidR="00585054" w:rsidRDefault="00585054" w:rsidP="0058505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585054" w:rsidRDefault="00585054" w:rsidP="0058505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Cette progression est construite sur 22 semaines pour laisser la possibilité de développer l’une ou l’autre des partie de ce programme ainsi que de permettre d’inclure quelques séances d’ECE.</w:t>
            </w:r>
          </w:p>
          <w:p w:rsidR="00585054" w:rsidRPr="00585054" w:rsidRDefault="00585054" w:rsidP="0058505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5364E7">
            <w:pPr>
              <w:rPr>
                <w:rFonts w:ascii="Comic Sans MS" w:hAnsi="Comic Sans MS"/>
                <w:sz w:val="24"/>
                <w:szCs w:val="24"/>
              </w:rPr>
            </w:pPr>
            <w:r w:rsidRPr="005364E7">
              <w:rPr>
                <w:rFonts w:ascii="Comic Sans MS" w:hAnsi="Comic Sans MS"/>
                <w:sz w:val="24"/>
                <w:szCs w:val="24"/>
              </w:rPr>
              <w:t>Semaine 1</w:t>
            </w:r>
          </w:p>
        </w:tc>
        <w:tc>
          <w:tcPr>
            <w:tcW w:w="8360" w:type="dxa"/>
          </w:tcPr>
          <w:p w:rsidR="005364E7" w:rsidRDefault="00A6545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TP1 : ondes sismiques ; dispositif à ressort + transmission dans un support  avec capteurs et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oscillo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numérique + mise en évidence de rayonnements </w:t>
            </w:r>
            <w:r w:rsidR="001F6FBC">
              <w:rPr>
                <w:rFonts w:ascii="Comic Sans MS" w:hAnsi="Comic Sans MS"/>
                <w:sz w:val="24"/>
                <w:szCs w:val="24"/>
              </w:rPr>
              <w:t>de radioactivité + détection d’une onde radio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A6545B" w:rsidRPr="005364E7" w:rsidRDefault="00A6545B" w:rsidP="002F058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Activités : </w:t>
            </w:r>
            <w:r w:rsidR="001F6FBC">
              <w:rPr>
                <w:rFonts w:ascii="Comic Sans MS" w:hAnsi="Comic Sans MS"/>
                <w:sz w:val="24"/>
                <w:szCs w:val="24"/>
              </w:rPr>
              <w:t>Rayonnements dans l’univers, sources de rayonnement, ondes mécaniques (sismiques, sonores, houle)</w:t>
            </w:r>
            <w:r w:rsidR="002F0589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1F6F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2</w:t>
            </w:r>
          </w:p>
        </w:tc>
        <w:tc>
          <w:tcPr>
            <w:tcW w:w="8360" w:type="dxa"/>
          </w:tcPr>
          <w:p w:rsidR="005364E7" w:rsidRDefault="001F6FBC" w:rsidP="002F058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TP2</w:t>
            </w:r>
            <w:r w:rsidR="00597401">
              <w:rPr>
                <w:rFonts w:ascii="Comic Sans MS" w:hAnsi="Comic Sans MS"/>
                <w:sz w:val="24"/>
                <w:szCs w:val="24"/>
              </w:rPr>
              <w:t xml:space="preserve"> : </w:t>
            </w:r>
            <w:r w:rsidR="002F0589">
              <w:rPr>
                <w:rFonts w:ascii="Comic Sans MS" w:hAnsi="Comic Sans MS"/>
                <w:sz w:val="24"/>
                <w:szCs w:val="24"/>
              </w:rPr>
              <w:t>Propagation d’une perturbation + o</w:t>
            </w:r>
            <w:r w:rsidR="00597401">
              <w:rPr>
                <w:rFonts w:ascii="Comic Sans MS" w:hAnsi="Comic Sans MS"/>
                <w:sz w:val="24"/>
                <w:szCs w:val="24"/>
              </w:rPr>
              <w:t>nde à la surface de l’eau, période fréquence, célérité + analyse spectrale d’un son musical.</w:t>
            </w:r>
          </w:p>
          <w:p w:rsidR="002F0589" w:rsidRPr="005364E7" w:rsidRDefault="002F0589" w:rsidP="002F058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Intensité sonore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2F058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3</w:t>
            </w:r>
          </w:p>
        </w:tc>
        <w:tc>
          <w:tcPr>
            <w:tcW w:w="8360" w:type="dxa"/>
          </w:tcPr>
          <w:p w:rsidR="005364E7" w:rsidRDefault="002F058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TP3 : Diffraction et interférences</w:t>
            </w:r>
          </w:p>
          <w:p w:rsidR="0083086E" w:rsidRPr="005364E7" w:rsidRDefault="0083086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8308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4</w:t>
            </w:r>
          </w:p>
        </w:tc>
        <w:tc>
          <w:tcPr>
            <w:tcW w:w="8360" w:type="dxa"/>
          </w:tcPr>
          <w:p w:rsidR="005364E7" w:rsidRDefault="008308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TP4 : Effet Doppler</w:t>
            </w:r>
          </w:p>
          <w:p w:rsidR="001D5A1C" w:rsidRPr="005364E7" w:rsidRDefault="001D5A1C" w:rsidP="00DB6D5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8308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5</w:t>
            </w:r>
          </w:p>
        </w:tc>
        <w:tc>
          <w:tcPr>
            <w:tcW w:w="8360" w:type="dxa"/>
          </w:tcPr>
          <w:p w:rsidR="005364E7" w:rsidRDefault="008308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TP5 : Spectrophotométrie</w:t>
            </w:r>
          </w:p>
          <w:p w:rsidR="0083086E" w:rsidRPr="005364E7" w:rsidRDefault="0083086E" w:rsidP="008308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Activités : Groupes caractéristiques en chimie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orga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; exploitation d’un spectre IR pour déterminer des groupes caractéristiques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8308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6</w:t>
            </w:r>
          </w:p>
        </w:tc>
        <w:tc>
          <w:tcPr>
            <w:tcW w:w="8360" w:type="dxa"/>
          </w:tcPr>
          <w:p w:rsidR="005364E7" w:rsidRDefault="008308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spectres RMN</w:t>
            </w:r>
          </w:p>
          <w:p w:rsidR="0083086E" w:rsidRPr="005364E7" w:rsidRDefault="0083086E" w:rsidP="008308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TP6 : cinétique, facteurs cinétiques et catalyse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E3435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7</w:t>
            </w:r>
          </w:p>
        </w:tc>
        <w:tc>
          <w:tcPr>
            <w:tcW w:w="8360" w:type="dxa"/>
          </w:tcPr>
          <w:p w:rsidR="005364E7" w:rsidRDefault="00E3435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mesure du temps</w:t>
            </w:r>
            <w:r w:rsidR="00265258">
              <w:rPr>
                <w:rFonts w:ascii="Comic Sans MS" w:hAnsi="Comic Sans MS"/>
                <w:sz w:val="24"/>
                <w:szCs w:val="24"/>
              </w:rPr>
              <w:t xml:space="preserve">, référentiels, exploitation d’un enregistrement pour définir </w:t>
            </w:r>
            <w:proofErr w:type="gramStart"/>
            <w:r w:rsidR="00265258">
              <w:rPr>
                <w:rFonts w:ascii="Comic Sans MS" w:hAnsi="Comic Sans MS"/>
                <w:sz w:val="24"/>
                <w:szCs w:val="24"/>
              </w:rPr>
              <w:t>le vecteur</w:t>
            </w:r>
            <w:proofErr w:type="gramEnd"/>
            <w:r w:rsidR="00265258">
              <w:rPr>
                <w:rFonts w:ascii="Comic Sans MS" w:hAnsi="Comic Sans MS"/>
                <w:sz w:val="24"/>
                <w:szCs w:val="24"/>
              </w:rPr>
              <w:t xml:space="preserve"> position, vitesse et accélération.</w:t>
            </w:r>
          </w:p>
          <w:p w:rsidR="00E3435D" w:rsidRPr="005364E7" w:rsidRDefault="00E3435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TP7 : étude de mouvements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2652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8</w:t>
            </w:r>
          </w:p>
        </w:tc>
        <w:tc>
          <w:tcPr>
            <w:tcW w:w="8360" w:type="dxa"/>
          </w:tcPr>
          <w:p w:rsidR="005364E7" w:rsidRDefault="002652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quantité de mouvement, lois de Newton</w:t>
            </w:r>
          </w:p>
          <w:p w:rsidR="00265258" w:rsidRPr="005364E7" w:rsidRDefault="002652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TP8 : propulsion par réaction, interprétation par la quantité de mouvement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2652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9</w:t>
            </w:r>
          </w:p>
        </w:tc>
        <w:tc>
          <w:tcPr>
            <w:tcW w:w="8360" w:type="dxa"/>
          </w:tcPr>
          <w:p w:rsidR="005364E7" w:rsidRDefault="006005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pl</w:t>
            </w:r>
            <w:r w:rsidR="00585054">
              <w:rPr>
                <w:rFonts w:ascii="Comic Sans MS" w:hAnsi="Comic Sans MS"/>
                <w:sz w:val="24"/>
                <w:szCs w:val="24"/>
              </w:rPr>
              <w:t>anètes et satellites, lois de Ke</w:t>
            </w:r>
            <w:r>
              <w:rPr>
                <w:rFonts w:ascii="Comic Sans MS" w:hAnsi="Comic Sans MS"/>
                <w:sz w:val="24"/>
                <w:szCs w:val="24"/>
              </w:rPr>
              <w:t>pler</w:t>
            </w:r>
          </w:p>
          <w:p w:rsidR="0060054A" w:rsidRPr="005364E7" w:rsidRDefault="006005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TP9 : Stéréochimie, modèles et simulation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6005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10</w:t>
            </w:r>
          </w:p>
        </w:tc>
        <w:tc>
          <w:tcPr>
            <w:tcW w:w="8360" w:type="dxa"/>
          </w:tcPr>
          <w:p w:rsidR="005364E7" w:rsidRDefault="00520D2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TP10 : transformations en chimie organique : addition, substitution, élimination</w:t>
            </w:r>
          </w:p>
          <w:p w:rsidR="00520D2D" w:rsidRPr="005364E7" w:rsidRDefault="00520D2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</w:t>
            </w:r>
            <w:r w:rsidR="00550EB4">
              <w:rPr>
                <w:rFonts w:ascii="Comic Sans MS" w:hAnsi="Comic Sans MS"/>
                <w:sz w:val="24"/>
                <w:szCs w:val="24"/>
              </w:rPr>
              <w:t>s : mécanismes réactionnels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5C495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11</w:t>
            </w:r>
          </w:p>
        </w:tc>
        <w:tc>
          <w:tcPr>
            <w:tcW w:w="8360" w:type="dxa"/>
          </w:tcPr>
          <w:p w:rsidR="005364E7" w:rsidRDefault="005C495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TP11  pH et Ka</w:t>
            </w:r>
          </w:p>
          <w:p w:rsidR="005C4953" w:rsidRPr="005364E7" w:rsidRDefault="005C495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contrôle du pH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5C495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12</w:t>
            </w:r>
          </w:p>
        </w:tc>
        <w:tc>
          <w:tcPr>
            <w:tcW w:w="8360" w:type="dxa"/>
          </w:tcPr>
          <w:p w:rsidR="005364E7" w:rsidRDefault="005C495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TP12 : influence des quantités de matière sur l’élévation de température</w:t>
            </w:r>
          </w:p>
          <w:p w:rsidR="005C4953" w:rsidRPr="005364E7" w:rsidRDefault="005C495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 : Visualiser atomes et molécules, évaluer des ordres de grandeurs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5C495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13</w:t>
            </w:r>
          </w:p>
        </w:tc>
        <w:tc>
          <w:tcPr>
            <w:tcW w:w="8360" w:type="dxa"/>
          </w:tcPr>
          <w:p w:rsidR="005C4953" w:rsidRDefault="005C495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Activités : </w:t>
            </w:r>
            <w:r w:rsidR="00B70626">
              <w:rPr>
                <w:rFonts w:ascii="Comic Sans MS" w:hAnsi="Comic Sans MS"/>
                <w:sz w:val="24"/>
                <w:szCs w:val="24"/>
              </w:rPr>
              <w:t>transferts thermiques, bilans énergétiques</w:t>
            </w:r>
          </w:p>
          <w:p w:rsidR="00B70626" w:rsidRPr="005364E7" w:rsidRDefault="005C495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TP13</w:t>
            </w:r>
            <w:r w:rsidR="00B70626">
              <w:rPr>
                <w:rFonts w:ascii="Comic Sans MS" w:hAnsi="Comic Sans MS"/>
                <w:sz w:val="24"/>
                <w:szCs w:val="24"/>
              </w:rPr>
              <w:t> : Transmission d’une information par laser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B706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Semaine 14</w:t>
            </w:r>
          </w:p>
        </w:tc>
        <w:tc>
          <w:tcPr>
            <w:tcW w:w="8360" w:type="dxa"/>
          </w:tcPr>
          <w:p w:rsidR="005364E7" w:rsidRDefault="00B706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aspects corpusculaires et ondulatoires de la lumière</w:t>
            </w:r>
          </w:p>
          <w:p w:rsidR="00B70626" w:rsidRPr="005364E7" w:rsidRDefault="00B706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TP14 :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conductimétrie</w:t>
            </w:r>
            <w:proofErr w:type="spellEnd"/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B706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15</w:t>
            </w:r>
          </w:p>
        </w:tc>
        <w:tc>
          <w:tcPr>
            <w:tcW w:w="8360" w:type="dxa"/>
          </w:tcPr>
          <w:p w:rsidR="005364E7" w:rsidRDefault="00B706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Activités : enjeux énergétiques, chimie et environnement</w:t>
            </w:r>
          </w:p>
          <w:p w:rsidR="00B70626" w:rsidRPr="005364E7" w:rsidRDefault="00B706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TP15 : titrages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B706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16</w:t>
            </w:r>
          </w:p>
        </w:tc>
        <w:tc>
          <w:tcPr>
            <w:tcW w:w="8360" w:type="dxa"/>
          </w:tcPr>
          <w:p w:rsidR="005364E7" w:rsidRDefault="00B706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analyse de protocoles</w:t>
            </w:r>
          </w:p>
          <w:p w:rsidR="00B70626" w:rsidRPr="005364E7" w:rsidRDefault="00B706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TP16 : synthèse et identification des produits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B706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17</w:t>
            </w:r>
          </w:p>
        </w:tc>
        <w:tc>
          <w:tcPr>
            <w:tcW w:w="8360" w:type="dxa"/>
          </w:tcPr>
          <w:p w:rsidR="005364E7" w:rsidRDefault="000278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travail, transferts d’énergie au cours d’un mouvement</w:t>
            </w:r>
          </w:p>
          <w:p w:rsidR="00027861" w:rsidRPr="005364E7" w:rsidRDefault="000278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 17 : paramètres influençant la période d’un oscillateur mécanique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0278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18</w:t>
            </w:r>
          </w:p>
        </w:tc>
        <w:tc>
          <w:tcPr>
            <w:tcW w:w="8360" w:type="dxa"/>
          </w:tcPr>
          <w:p w:rsidR="005364E7" w:rsidRDefault="000278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mesure du temps définition de la seconde</w:t>
            </w:r>
          </w:p>
          <w:p w:rsidR="00027861" w:rsidRPr="005364E7" w:rsidRDefault="000278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TP18 : évolution énergétiques d’un oscillateur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0278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Semaine 19 </w:t>
            </w:r>
          </w:p>
        </w:tc>
        <w:tc>
          <w:tcPr>
            <w:tcW w:w="8360" w:type="dxa"/>
          </w:tcPr>
          <w:p w:rsidR="005364E7" w:rsidRPr="005364E7" w:rsidRDefault="0002786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temps et relativité restreinte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7E53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20</w:t>
            </w:r>
          </w:p>
        </w:tc>
        <w:tc>
          <w:tcPr>
            <w:tcW w:w="8360" w:type="dxa"/>
          </w:tcPr>
          <w:p w:rsidR="005364E7" w:rsidRDefault="007E53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chaines de transmission d’informations</w:t>
            </w:r>
          </w:p>
          <w:p w:rsidR="007E5360" w:rsidRPr="005364E7" w:rsidRDefault="007E53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TP19 : Images numériques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7E53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21</w:t>
            </w:r>
          </w:p>
        </w:tc>
        <w:tc>
          <w:tcPr>
            <w:tcW w:w="8360" w:type="dxa"/>
          </w:tcPr>
          <w:p w:rsidR="005364E7" w:rsidRDefault="007E53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conversion analogique numérique</w:t>
            </w:r>
          </w:p>
          <w:p w:rsidR="007E5360" w:rsidRPr="005364E7" w:rsidRDefault="007E53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 20 : numérisation d’un signal sonore</w:t>
            </w:r>
          </w:p>
        </w:tc>
      </w:tr>
      <w:tr w:rsidR="005364E7" w:rsidRPr="005364E7" w:rsidTr="005364E7">
        <w:tc>
          <w:tcPr>
            <w:tcW w:w="1526" w:type="dxa"/>
          </w:tcPr>
          <w:p w:rsidR="005364E7" w:rsidRPr="005364E7" w:rsidRDefault="007E53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Semaine 22</w:t>
            </w:r>
          </w:p>
        </w:tc>
        <w:tc>
          <w:tcPr>
            <w:tcW w:w="8360" w:type="dxa"/>
          </w:tcPr>
          <w:p w:rsidR="005364E7" w:rsidRDefault="001B72D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TP21 : Mise en œuvre d’un dispositif de transmission</w:t>
            </w:r>
          </w:p>
          <w:p w:rsidR="001B72D9" w:rsidRPr="005364E7" w:rsidRDefault="001B72D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Activités : écriture, stockage et lecture sur disque optique</w:t>
            </w:r>
          </w:p>
        </w:tc>
      </w:tr>
    </w:tbl>
    <w:p w:rsidR="0000165E" w:rsidRPr="005364E7" w:rsidRDefault="0000165E">
      <w:pPr>
        <w:rPr>
          <w:rFonts w:ascii="Comic Sans MS" w:hAnsi="Comic Sans MS"/>
          <w:sz w:val="24"/>
          <w:szCs w:val="24"/>
        </w:rPr>
      </w:pPr>
    </w:p>
    <w:sectPr w:rsidR="0000165E" w:rsidRPr="005364E7" w:rsidSect="005364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364E7"/>
    <w:rsid w:val="0000165E"/>
    <w:rsid w:val="00027861"/>
    <w:rsid w:val="001B72D9"/>
    <w:rsid w:val="001D5A1C"/>
    <w:rsid w:val="001F6FBC"/>
    <w:rsid w:val="00265258"/>
    <w:rsid w:val="002F0589"/>
    <w:rsid w:val="003E6058"/>
    <w:rsid w:val="00520D2D"/>
    <w:rsid w:val="005216DB"/>
    <w:rsid w:val="005364E7"/>
    <w:rsid w:val="00550EB4"/>
    <w:rsid w:val="00585054"/>
    <w:rsid w:val="00597401"/>
    <w:rsid w:val="005C4953"/>
    <w:rsid w:val="0060054A"/>
    <w:rsid w:val="00731D72"/>
    <w:rsid w:val="007769CD"/>
    <w:rsid w:val="007E5360"/>
    <w:rsid w:val="0083086E"/>
    <w:rsid w:val="00A6545B"/>
    <w:rsid w:val="00B70626"/>
    <w:rsid w:val="00BD6C7D"/>
    <w:rsid w:val="00DB6D5F"/>
    <w:rsid w:val="00E3435D"/>
    <w:rsid w:val="00F92A9A"/>
    <w:rsid w:val="00F95073"/>
    <w:rsid w:val="00FF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CD"/>
    <w:pPr>
      <w:suppressAutoHyphens/>
    </w:pPr>
    <w:rPr>
      <w:rFonts w:ascii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769CD"/>
    <w:rPr>
      <w:b/>
      <w:bCs/>
    </w:rPr>
  </w:style>
  <w:style w:type="paragraph" w:styleId="Paragraphedeliste">
    <w:name w:val="List Paragraph"/>
    <w:basedOn w:val="Normal"/>
    <w:qFormat/>
    <w:rsid w:val="007769CD"/>
    <w:pPr>
      <w:ind w:left="720"/>
    </w:pPr>
  </w:style>
  <w:style w:type="table" w:styleId="Grilledutableau">
    <w:name w:val="Table Grid"/>
    <w:basedOn w:val="TableauNormal"/>
    <w:uiPriority w:val="59"/>
    <w:rsid w:val="00536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5</cp:revision>
  <dcterms:created xsi:type="dcterms:W3CDTF">2012-07-02T07:50:00Z</dcterms:created>
  <dcterms:modified xsi:type="dcterms:W3CDTF">2012-07-07T03:16:00Z</dcterms:modified>
</cp:coreProperties>
</file>