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CA63D" w14:textId="77777777" w:rsidR="00CA6D25" w:rsidRPr="009C2819" w:rsidRDefault="00CA6D25" w:rsidP="00CA6D25">
      <w:pPr>
        <w:shd w:val="clear" w:color="auto" w:fill="FFF2CC" w:themeFill="accent4" w:themeFillTint="33"/>
        <w:rPr>
          <w:i/>
          <w:sz w:val="22"/>
          <w:szCs w:val="22"/>
        </w:rPr>
      </w:pPr>
      <w:bookmarkStart w:id="0" w:name="_GoBack"/>
      <w:bookmarkEnd w:id="0"/>
      <w:r w:rsidRPr="009C2819">
        <w:rPr>
          <w:b/>
          <w:iCs/>
          <w:sz w:val="22"/>
          <w:szCs w:val="22"/>
        </w:rPr>
        <w:t>Proposition 1-2</w:t>
      </w:r>
      <w:r w:rsidRPr="009C2819">
        <w:rPr>
          <w:b/>
          <w:i/>
          <w:sz w:val="22"/>
          <w:szCs w:val="22"/>
        </w:rPr>
        <w:t> </w:t>
      </w:r>
    </w:p>
    <w:p w14:paraId="32322F74" w14:textId="77777777" w:rsidR="00CA6D25" w:rsidRPr="004B23EB" w:rsidRDefault="00CA6D25" w:rsidP="00CA6D25">
      <w:pPr>
        <w:rPr>
          <w:b/>
          <w:i/>
          <w:sz w:val="10"/>
          <w:szCs w:val="10"/>
        </w:rPr>
      </w:pPr>
    </w:p>
    <w:p w14:paraId="4A533EF2" w14:textId="77777777" w:rsidR="00CA6D25" w:rsidRPr="009C2819" w:rsidRDefault="00CA6D25" w:rsidP="00CA6D25">
      <w:pPr>
        <w:rPr>
          <w:b/>
          <w:sz w:val="22"/>
          <w:szCs w:val="22"/>
        </w:rPr>
      </w:pPr>
      <w:r w:rsidRPr="009C2819">
        <w:rPr>
          <w:b/>
          <w:sz w:val="22"/>
          <w:szCs w:val="22"/>
        </w:rPr>
        <w:t>Exercice 1 sur 10 points</w:t>
      </w:r>
    </w:p>
    <w:p w14:paraId="76A2A087" w14:textId="77777777" w:rsidR="00CA6D25" w:rsidRPr="004B23EB" w:rsidRDefault="00CA6D25" w:rsidP="00CA6D25">
      <w:pPr>
        <w:rPr>
          <w:sz w:val="10"/>
          <w:szCs w:val="10"/>
        </w:rPr>
      </w:pPr>
    </w:p>
    <w:p w14:paraId="57F55A58" w14:textId="77777777" w:rsidR="00CA6D25" w:rsidRPr="00320553" w:rsidRDefault="00CA6D25" w:rsidP="00CA6D25">
      <w:pPr>
        <w:rPr>
          <w:sz w:val="22"/>
          <w:szCs w:val="22"/>
          <w:u w:val="single"/>
        </w:rPr>
      </w:pPr>
      <w:r w:rsidRPr="00320553">
        <w:rPr>
          <w:sz w:val="22"/>
          <w:szCs w:val="22"/>
          <w:highlight w:val="lightGray"/>
          <w:u w:val="single"/>
        </w:rPr>
        <w:t xml:space="preserve">La </w:t>
      </w:r>
      <w:r>
        <w:rPr>
          <w:sz w:val="22"/>
          <w:szCs w:val="22"/>
          <w:highlight w:val="lightGray"/>
          <w:u w:val="single"/>
        </w:rPr>
        <w:t>diversité</w:t>
      </w:r>
      <w:r w:rsidRPr="00320553">
        <w:rPr>
          <w:sz w:val="22"/>
          <w:szCs w:val="22"/>
          <w:highlight w:val="lightGray"/>
          <w:u w:val="single"/>
        </w:rPr>
        <w:t xml:space="preserve"> génétique au sein des populations</w:t>
      </w:r>
    </w:p>
    <w:p w14:paraId="7A97D32F" w14:textId="77777777" w:rsidR="00CA6D25" w:rsidRPr="00EA228C" w:rsidRDefault="00CA6D25" w:rsidP="00CA6D25">
      <w:pPr>
        <w:rPr>
          <w:strike/>
          <w:sz w:val="22"/>
          <w:szCs w:val="22"/>
        </w:rPr>
      </w:pPr>
      <w:r w:rsidRPr="00320553">
        <w:rPr>
          <w:sz w:val="22"/>
          <w:szCs w:val="22"/>
        </w:rPr>
        <w:t>Dans une population</w:t>
      </w:r>
      <w:r>
        <w:rPr>
          <w:sz w:val="22"/>
          <w:szCs w:val="22"/>
        </w:rPr>
        <w:t xml:space="preserve"> d’êtres vivants</w:t>
      </w:r>
      <w:r w:rsidRPr="00320553">
        <w:rPr>
          <w:sz w:val="22"/>
          <w:szCs w:val="22"/>
        </w:rPr>
        <w:t xml:space="preserve"> certains caractères sont différents d’un individu à l’autre </w:t>
      </w:r>
      <w:r w:rsidRPr="008E137E">
        <w:rPr>
          <w:sz w:val="22"/>
          <w:szCs w:val="22"/>
        </w:rPr>
        <w:t>et peuvent, pour certains d’entre eux, être contrôlés génétiquement.</w:t>
      </w:r>
      <w:r w:rsidRPr="00320553">
        <w:rPr>
          <w:sz w:val="22"/>
          <w:szCs w:val="22"/>
        </w:rPr>
        <w:t xml:space="preserve"> C’est le cas de la couleur des yeux d’une mouche très utilisée en génétique</w:t>
      </w:r>
      <w:r>
        <w:rPr>
          <w:sz w:val="22"/>
          <w:szCs w:val="22"/>
        </w:rPr>
        <w:t xml:space="preserve">, </w:t>
      </w:r>
      <w:r w:rsidRPr="00320553">
        <w:rPr>
          <w:sz w:val="22"/>
          <w:szCs w:val="22"/>
        </w:rPr>
        <w:t>la drosophile</w:t>
      </w:r>
      <w:r>
        <w:rPr>
          <w:sz w:val="22"/>
          <w:szCs w:val="22"/>
        </w:rPr>
        <w:t xml:space="preserve"> ou celle des êtres humains</w:t>
      </w:r>
      <w:r w:rsidRPr="00320553">
        <w:rPr>
          <w:sz w:val="22"/>
          <w:szCs w:val="22"/>
        </w:rPr>
        <w:t xml:space="preserve">. </w:t>
      </w:r>
    </w:p>
    <w:p w14:paraId="2D8D9D86" w14:textId="77777777" w:rsidR="00CA6D25" w:rsidRPr="004B23EB" w:rsidRDefault="00CA6D25" w:rsidP="00CA6D25">
      <w:pPr>
        <w:rPr>
          <w:sz w:val="10"/>
          <w:szCs w:val="10"/>
        </w:rPr>
      </w:pPr>
    </w:p>
    <w:p w14:paraId="2CE0E370" w14:textId="77777777" w:rsidR="00CA6D25" w:rsidRPr="009C2819" w:rsidRDefault="00CA6D25" w:rsidP="00CA6D25">
      <w:pPr>
        <w:rPr>
          <w:bCs/>
          <w:sz w:val="22"/>
          <w:szCs w:val="22"/>
        </w:rPr>
      </w:pPr>
      <w:r w:rsidRPr="009C2819">
        <w:rPr>
          <w:b/>
          <w:sz w:val="22"/>
          <w:szCs w:val="22"/>
        </w:rPr>
        <w:t xml:space="preserve">Expliquer comment peuvent apparaître de nouveaux allèles dans une population. </w:t>
      </w:r>
      <w:r w:rsidRPr="009C2819">
        <w:rPr>
          <w:b/>
          <w:sz w:val="22"/>
          <w:szCs w:val="22"/>
        </w:rPr>
        <w:br/>
      </w:r>
      <w:r w:rsidRPr="004B23EB">
        <w:rPr>
          <w:b/>
          <w:sz w:val="10"/>
          <w:szCs w:val="10"/>
        </w:rPr>
        <w:br/>
      </w:r>
      <w:r w:rsidRPr="009C2819">
        <w:rPr>
          <w:bCs/>
          <w:i/>
          <w:iCs/>
          <w:sz w:val="22"/>
          <w:szCs w:val="22"/>
        </w:rPr>
        <w:t xml:space="preserve">Vous rédigerez un exposé structuré. Vous pouvez vous appuyer sur des représentations graphiques judicieusement choisies. On attend des arguments pour illustrer l’exposé comme des expériences, des observations, des exemples ... </w:t>
      </w:r>
    </w:p>
    <w:p w14:paraId="4A821DA6" w14:textId="77777777" w:rsidR="00CA6D25" w:rsidRPr="004B23EB" w:rsidRDefault="00CA6D25" w:rsidP="00CA6D25">
      <w:pPr>
        <w:rPr>
          <w:sz w:val="10"/>
          <w:szCs w:val="10"/>
        </w:rPr>
      </w:pPr>
    </w:p>
    <w:p w14:paraId="7CB83A99" w14:textId="77777777" w:rsidR="00CA6D25" w:rsidRDefault="00CA6D25" w:rsidP="00CA6D25">
      <w:pPr>
        <w:rPr>
          <w:b/>
          <w:bCs/>
        </w:rPr>
      </w:pPr>
      <w:r>
        <w:rPr>
          <w:b/>
          <w:bCs/>
        </w:rPr>
        <w:t>Les critères évalués sont indiqués dans la colonne de gauche, les indicateurs de la colonne de droite sont déclinés pour ce sujet.</w:t>
      </w:r>
    </w:p>
    <w:p w14:paraId="42AD02DB" w14:textId="77777777" w:rsidR="00CA6D25" w:rsidRDefault="00CA6D25" w:rsidP="00CA6D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CA6D25" w:rsidRPr="00834F48" w14:paraId="11471AD8" w14:textId="77777777" w:rsidTr="004B23EB">
        <w:tc>
          <w:tcPr>
            <w:tcW w:w="3681" w:type="dxa"/>
          </w:tcPr>
          <w:p w14:paraId="02536E65" w14:textId="77777777" w:rsidR="00CA6D25" w:rsidRPr="00664DC3" w:rsidRDefault="00CA6D25" w:rsidP="004B23EB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14:paraId="55BEBC35" w14:textId="77777777" w:rsidR="00CA6D25" w:rsidRPr="00664DC3" w:rsidRDefault="00CA6D25" w:rsidP="00CA6D25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Indicateurs</w:t>
            </w:r>
          </w:p>
        </w:tc>
      </w:tr>
      <w:tr w:rsidR="00CA6D25" w:rsidRPr="00834F48" w14:paraId="43B3662D" w14:textId="77777777" w:rsidTr="004B23EB">
        <w:tc>
          <w:tcPr>
            <w:tcW w:w="3681" w:type="dxa"/>
          </w:tcPr>
          <w:p w14:paraId="6FDD95ED" w14:textId="77777777" w:rsidR="00CA6D25" w:rsidRDefault="00CA6D25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Cohérence de l’organisation du propos par rapport au questionnement posé</w:t>
            </w:r>
            <w:r w:rsid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.</w:t>
            </w:r>
          </w:p>
          <w:p w14:paraId="22CD8D8D" w14:textId="77777777" w:rsidR="009A4A39" w:rsidRDefault="009A4A39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</w:p>
          <w:p w14:paraId="42BC15CA" w14:textId="77777777"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</w:pPr>
            <w:r w:rsidRPr="009A4A39"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  <w:t>A propos de l’organisation de l’exposé :</w:t>
            </w:r>
          </w:p>
          <w:p w14:paraId="449CCFBB" w14:textId="77777777" w:rsidR="009A4A39" w:rsidRPr="009A4A39" w:rsidRDefault="009A4A39" w:rsidP="009A4A39">
            <w:pPr>
              <w:pStyle w:val="Paragraphedeliste"/>
              <w:ind w:left="0"/>
              <w:rPr>
                <w:color w:val="2E74B5" w:themeColor="accent5" w:themeShade="BF"/>
                <w:sz w:val="22"/>
                <w:szCs w:val="22"/>
              </w:rPr>
            </w:pPr>
          </w:p>
          <w:p w14:paraId="4EDA219C" w14:textId="77777777"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9A4A39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Les éléments mobilisables précisés dans la colonne de droite ci-dessous (en noir) ne donne pas un plan ou une organisation type. Les éléments indiqués ci-contre sont ceux qu’un élève peut mobiliser à partir du programme. Toutes les organisations logiques permettant de répondre à la question sont recevables.</w:t>
            </w:r>
          </w:p>
          <w:p w14:paraId="5EC1357C" w14:textId="35EF035D" w:rsidR="004B23EB" w:rsidRDefault="004B23EB" w:rsidP="004B23EB">
            <w:pPr>
              <w:pStyle w:val="Paragraphedeliste"/>
              <w:ind w:left="0"/>
              <w:rPr>
                <w:color w:val="7030A0"/>
                <w:sz w:val="22"/>
                <w:szCs w:val="22"/>
              </w:rPr>
            </w:pPr>
          </w:p>
          <w:p w14:paraId="2D60E499" w14:textId="77777777" w:rsidR="0083753D" w:rsidRPr="004B23EB" w:rsidRDefault="0083753D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1B86B952" w14:textId="77777777" w:rsidR="00617CAC" w:rsidRPr="0083753D" w:rsidRDefault="00CA6D25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  <w:r w:rsidRPr="0083753D"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 xml:space="preserve">Exactitude </w:t>
            </w:r>
            <w:r w:rsidR="00617CAC" w:rsidRPr="0083753D"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>et complétude</w:t>
            </w:r>
            <w:r w:rsidR="00617CAC" w:rsidRPr="0083753D">
              <w:rPr>
                <w:rFonts w:eastAsiaTheme="minorHAnsi"/>
                <w:color w:val="7030A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="00617CAC" w:rsidRPr="0083753D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 xml:space="preserve"> des éléments nécessaires pour traiter le sujet (connaissances ; expériences, observations, exemples) </w:t>
            </w:r>
          </w:p>
          <w:p w14:paraId="3D1AC477" w14:textId="77777777" w:rsidR="00617CAC" w:rsidRDefault="00617CAC" w:rsidP="00617CAC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7C0F69FF" w14:textId="5363F780" w:rsidR="00617CAC" w:rsidRDefault="00617CAC" w:rsidP="00617CAC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B23EB">
              <w:rPr>
                <w:b/>
                <w:bCs/>
                <w:i/>
                <w:iCs/>
                <w:sz w:val="22"/>
                <w:szCs w:val="22"/>
                <w:u w:val="single"/>
              </w:rPr>
              <w:t>A propos de la complétude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 des connaissances : </w:t>
            </w:r>
          </w:p>
          <w:p w14:paraId="35506587" w14:textId="77777777" w:rsidR="00617CAC" w:rsidRDefault="00617CAC" w:rsidP="00617CAC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éléments indiqués sont directement issus du programme, c’est à dire des éléments exigibles. On n’attend pas qu’un élève « récite par cœur » ces phrases et ces mots clés mais qu’il se les approprie et les organise en un tout cohérent.</w:t>
            </w:r>
          </w:p>
          <w:p w14:paraId="384240CA" w14:textId="77777777" w:rsidR="00E45DE4" w:rsidRPr="004B23EB" w:rsidRDefault="00E45DE4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14:paraId="60BC4AFD" w14:textId="77777777" w:rsidR="00CA6D25" w:rsidRPr="004B23EB" w:rsidRDefault="00CA6D25" w:rsidP="004B23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BB726" w14:textId="77777777" w:rsidR="005700E8" w:rsidRPr="004B23EB" w:rsidRDefault="005700E8" w:rsidP="004B2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1BE08F8" w14:textId="77777777" w:rsidR="009A4A39" w:rsidRDefault="009A4A39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426AD59B" w14:textId="77777777" w:rsidR="009A4A39" w:rsidRDefault="009A4A39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11EDF509" w14:textId="792E84F0" w:rsidR="00E45DE4" w:rsidRDefault="00E45DE4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8AEF6B5" w14:textId="3B3B399F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6A1E679E" w14:textId="2B7A16F4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05CF6077" w14:textId="7FB47631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49272226" w14:textId="7D55D874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615DD35F" w14:textId="6782DFD1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6FDA7E95" w14:textId="576C66B4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74ACE652" w14:textId="77777777" w:rsidR="00ED06EA" w:rsidRDefault="00ED06EA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56847CDF" w14:textId="77777777" w:rsidR="0083753D" w:rsidRDefault="0083753D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70DE1948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137CD625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37300E00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4995F78E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1946EF76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515D326C" w14:textId="5C1EE3B7" w:rsidR="00E45DE4" w:rsidRPr="00E45DE4" w:rsidRDefault="00E45DE4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A propos des </w:t>
            </w:r>
            <w:r w:rsidR="00617CAC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observations, des expériences, des </w:t>
            </w: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>exemples :</w:t>
            </w:r>
          </w:p>
          <w:p w14:paraId="7F6427AE" w14:textId="77777777" w:rsidR="00E45DE4" w:rsidRPr="004B23EB" w:rsidRDefault="00E45DE4" w:rsidP="00E45DE4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4053453B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5593CE8F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226833E5" w14:textId="77777777"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14:paraId="129B99E8" w14:textId="77777777" w:rsidR="00E45DE4" w:rsidRPr="004B23EB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14:paraId="0081B377" w14:textId="77777777"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</w:p>
          <w:p w14:paraId="53C20A4B" w14:textId="77777777" w:rsidR="009F3F3D" w:rsidRDefault="009F3F3D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0149AEEB" w14:textId="77777777" w:rsidR="009F3F3D" w:rsidRDefault="009F3F3D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51E61EE9" w14:textId="77777777" w:rsidR="009F3F3D" w:rsidRDefault="009F3F3D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27F32FD8" w14:textId="77777777" w:rsidR="009F3F3D" w:rsidRDefault="009F3F3D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263D0C9E" w14:textId="77777777" w:rsidR="009F3F3D" w:rsidRDefault="009F3F3D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14:paraId="0ACE91A8" w14:textId="377F35BB"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L’élève fait bien le lien entre les mutations, qu’il explicite, et les cellules germinales. </w:t>
            </w:r>
          </w:p>
          <w:p w14:paraId="31B6A111" w14:textId="64149CBB"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L’élève explique les origines possibles des mutations et fait le lien </w:t>
            </w:r>
            <w:r w:rsidR="00617CA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avec</w:t>
            </w: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les défaillances des systèmes de réparation de l’ADN au moment de la réplication.</w:t>
            </w:r>
          </w:p>
          <w:p w14:paraId="464DCFA5" w14:textId="40599ACF"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les cellules somatiques</w:t>
            </w:r>
            <w:r w:rsidR="00617CAC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et le justifie.</w:t>
            </w:r>
          </w:p>
          <w:p w14:paraId="65F16497" w14:textId="7AC29BEC" w:rsidR="0083753D" w:rsidRDefault="009A4A39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les mécanismes de l’expression de l’information génétique</w:t>
            </w:r>
            <w:r w:rsidR="009F3F3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  <w:p w14:paraId="1B4B3444" w14:textId="2F20D5AB" w:rsidR="0083753D" w:rsidRDefault="0083753D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19B1C71B" w14:textId="5430234F" w:rsidR="0083753D" w:rsidRDefault="0083753D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36E21AC0" w14:textId="77777777" w:rsidR="0083753D" w:rsidRDefault="0083753D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</w:p>
          <w:p w14:paraId="46C95E54" w14:textId="0C2F6F87" w:rsidR="004B23EB" w:rsidRPr="009A4A39" w:rsidRDefault="00CA6D25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Les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éléments présentés 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en noir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sont exacts, l’élève utilise un vocabulaire scientifique adéquat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(les mots indiqués en verts issus des programmes)</w:t>
            </w:r>
            <w:r w:rsidR="00E1114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</w:t>
            </w:r>
          </w:p>
          <w:p w14:paraId="36349322" w14:textId="77777777" w:rsidR="004B23EB" w:rsidRDefault="004B23EB" w:rsidP="004B23EB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185B8A" w14:textId="77777777" w:rsidR="00617CAC" w:rsidRPr="00ED06EA" w:rsidRDefault="00617CAC" w:rsidP="004B23EB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9FD584B" w14:textId="554F3A80" w:rsidR="00834F48" w:rsidRPr="004B23EB" w:rsidRDefault="00E1114B" w:rsidP="00ED06EA">
            <w:pPr>
              <w:pStyle w:val="Defaul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Concernant l</w:t>
            </w:r>
            <w:r w:rsidR="00834F48" w:rsidRPr="004B2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’origine de nouveaux allèles :</w:t>
            </w:r>
          </w:p>
          <w:p w14:paraId="7A624EAF" w14:textId="77777777" w:rsidR="00ED06EA" w:rsidRPr="00ED06EA" w:rsidRDefault="00ED06EA" w:rsidP="00ED06EA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32DBA2CB" w14:textId="3A5217A8" w:rsidR="00E1114B" w:rsidRDefault="00E1114B" w:rsidP="00ED06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Idées :</w:t>
            </w:r>
          </w:p>
          <w:p w14:paraId="102FB947" w14:textId="77777777" w:rsidR="00ED06EA" w:rsidRDefault="00E1114B" w:rsidP="00834F48">
            <w:pPr>
              <w:pStyle w:val="NormalWeb"/>
              <w:rPr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t>- E</w:t>
            </w:r>
            <w:r w:rsidR="00834F48" w:rsidRPr="004B23EB">
              <w:rPr>
                <w:sz w:val="22"/>
                <w:szCs w:val="22"/>
              </w:rPr>
              <w:t xml:space="preserve">rreurs </w:t>
            </w:r>
            <w:r>
              <w:rPr>
                <w:sz w:val="22"/>
                <w:szCs w:val="22"/>
              </w:rPr>
              <w:t xml:space="preserve">à caractère aléatoire </w:t>
            </w:r>
            <w:r w:rsidRPr="004B23EB">
              <w:rPr>
                <w:sz w:val="22"/>
                <w:szCs w:val="22"/>
              </w:rPr>
              <w:t>lors de la réplication de l'ADN</w:t>
            </w:r>
            <w:r>
              <w:rPr>
                <w:sz w:val="22"/>
                <w:szCs w:val="22"/>
              </w:rPr>
              <w:t xml:space="preserve"> ; augmentation de </w:t>
            </w:r>
            <w:r w:rsidR="00834F48" w:rsidRPr="009F3F3D">
              <w:rPr>
                <w:color w:val="70AD47" w:themeColor="accent6"/>
                <w:sz w:val="22"/>
                <w:szCs w:val="22"/>
              </w:rPr>
              <w:t>fréquence</w:t>
            </w:r>
            <w:r w:rsidR="00834F48" w:rsidRPr="004B2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sous l’</w:t>
            </w:r>
            <w:r w:rsidR="00834F48" w:rsidRPr="004B23EB">
              <w:rPr>
                <w:sz w:val="22"/>
                <w:szCs w:val="22"/>
              </w:rPr>
              <w:t>action d’agents mutagènes</w:t>
            </w:r>
            <w:r>
              <w:rPr>
                <w:sz w:val="22"/>
                <w:szCs w:val="22"/>
              </w:rPr>
              <w:t xml:space="preserve"> ; </w:t>
            </w:r>
            <w:r w:rsidR="00ED06EA">
              <w:rPr>
                <w:sz w:val="22"/>
                <w:szCs w:val="22"/>
              </w:rPr>
              <w:t xml:space="preserve">endommagement </w:t>
            </w:r>
            <w:r w:rsidR="00ED06EA" w:rsidRPr="004B23EB">
              <w:rPr>
                <w:sz w:val="22"/>
                <w:szCs w:val="22"/>
              </w:rPr>
              <w:t>en</w:t>
            </w:r>
            <w:r w:rsidR="00834F48" w:rsidRPr="004B23EB">
              <w:rPr>
                <w:sz w:val="22"/>
                <w:szCs w:val="22"/>
              </w:rPr>
              <w:t xml:space="preserve"> dehors de sa réplication</w:t>
            </w:r>
            <w:r>
              <w:rPr>
                <w:sz w:val="22"/>
                <w:szCs w:val="22"/>
              </w:rPr>
              <w:t xml:space="preserve"> ; </w:t>
            </w:r>
            <w:r w:rsidRPr="009F3F3D">
              <w:rPr>
                <w:color w:val="70AD47" w:themeColor="accent6"/>
                <w:sz w:val="22"/>
                <w:szCs w:val="22"/>
              </w:rPr>
              <w:t>mutations spontanées et induites</w:t>
            </w:r>
            <w:r w:rsidR="00ED06EA">
              <w:rPr>
                <w:color w:val="70AD47" w:themeColor="accent6"/>
                <w:sz w:val="22"/>
                <w:szCs w:val="22"/>
              </w:rPr>
              <w:t>.</w:t>
            </w:r>
          </w:p>
          <w:p w14:paraId="1DDACAA9" w14:textId="7C4F7B07" w:rsidR="004B23EB" w:rsidRDefault="00E1114B" w:rsidP="00834F4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34F48" w:rsidRPr="009F3F3D">
              <w:rPr>
                <w:color w:val="70AD47" w:themeColor="accent6"/>
                <w:sz w:val="22"/>
                <w:szCs w:val="22"/>
              </w:rPr>
              <w:t>mutations</w:t>
            </w:r>
            <w:r w:rsidR="00834F48" w:rsidRPr="004B2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</w:t>
            </w:r>
            <w:r w:rsidR="00834F48" w:rsidRPr="004B23EB">
              <w:rPr>
                <w:sz w:val="22"/>
                <w:szCs w:val="22"/>
              </w:rPr>
              <w:t xml:space="preserve"> diversité́ des </w:t>
            </w:r>
            <w:r w:rsidR="00834F48" w:rsidRPr="009F3F3D">
              <w:rPr>
                <w:color w:val="70AD47" w:themeColor="accent6"/>
                <w:sz w:val="22"/>
                <w:szCs w:val="22"/>
              </w:rPr>
              <w:t>allèles</w:t>
            </w:r>
            <w:r w:rsidR="00834F48" w:rsidRPr="004B23EB">
              <w:rPr>
                <w:sz w:val="22"/>
                <w:szCs w:val="22"/>
              </w:rPr>
              <w:t xml:space="preserve"> au cours du temps</w:t>
            </w:r>
            <w:r>
              <w:rPr>
                <w:sz w:val="22"/>
                <w:szCs w:val="22"/>
              </w:rPr>
              <w:t xml:space="preserve"> ; liens entre </w:t>
            </w:r>
            <w:r w:rsidRPr="009F3F3D">
              <w:rPr>
                <w:color w:val="70AD47" w:themeColor="accent6"/>
                <w:sz w:val="22"/>
                <w:szCs w:val="22"/>
              </w:rPr>
              <w:t xml:space="preserve">les différents types de mutation </w:t>
            </w:r>
            <w:r>
              <w:rPr>
                <w:sz w:val="22"/>
                <w:szCs w:val="22"/>
              </w:rPr>
              <w:t xml:space="preserve">et les différents effets </w:t>
            </w:r>
            <w:r w:rsidR="00834F48" w:rsidRPr="004B23EB">
              <w:rPr>
                <w:sz w:val="22"/>
                <w:szCs w:val="22"/>
              </w:rPr>
              <w:t xml:space="preserve">sur le phénotype. </w:t>
            </w:r>
          </w:p>
          <w:p w14:paraId="4E22BE46" w14:textId="14A7D1D6" w:rsidR="005700E8" w:rsidRPr="004B23EB" w:rsidRDefault="00E1114B" w:rsidP="00834F48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Concernant la </w:t>
            </w:r>
            <w:r w:rsidR="005700E8" w:rsidRPr="004B23EB">
              <w:rPr>
                <w:b/>
                <w:bCs/>
                <w:sz w:val="22"/>
                <w:szCs w:val="22"/>
              </w:rPr>
              <w:t>défaillance des systèmes de réparation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14:paraId="25EA6091" w14:textId="09492DBD" w:rsidR="00834F48" w:rsidRPr="004B23EB" w:rsidRDefault="00E1114B" w:rsidP="00834F4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Idées de réparation des </w:t>
            </w:r>
            <w:r w:rsidR="00834F48" w:rsidRPr="004B23EB">
              <w:rPr>
                <w:sz w:val="22"/>
                <w:szCs w:val="22"/>
              </w:rPr>
              <w:t xml:space="preserve">erreurs réplicatives et </w:t>
            </w:r>
            <w:r>
              <w:rPr>
                <w:sz w:val="22"/>
                <w:szCs w:val="22"/>
              </w:rPr>
              <w:t>d</w:t>
            </w:r>
            <w:r w:rsidR="00834F48" w:rsidRPr="004B23EB">
              <w:rPr>
                <w:sz w:val="22"/>
                <w:szCs w:val="22"/>
              </w:rPr>
              <w:t>es altérations de l’ADN</w:t>
            </w:r>
            <w:r>
              <w:rPr>
                <w:sz w:val="22"/>
                <w:szCs w:val="22"/>
              </w:rPr>
              <w:t> </w:t>
            </w:r>
            <w:r w:rsidR="00ED06EA">
              <w:rPr>
                <w:sz w:val="22"/>
                <w:szCs w:val="22"/>
              </w:rPr>
              <w:t xml:space="preserve">; </w:t>
            </w:r>
            <w:r w:rsidR="00ED06EA" w:rsidRPr="004B23EB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  <w:r w:rsidR="00940B69" w:rsidRPr="009F3F3D">
              <w:rPr>
                <w:color w:val="70AD47" w:themeColor="accent6"/>
                <w:sz w:val="22"/>
                <w:szCs w:val="22"/>
              </w:rPr>
              <w:t>systèmes de réparation</w:t>
            </w:r>
            <w:r w:rsidR="00834F48" w:rsidRPr="009F3F3D">
              <w:rPr>
                <w:color w:val="70AD47" w:themeColor="accent6"/>
                <w:sz w:val="22"/>
                <w:szCs w:val="22"/>
              </w:rPr>
              <w:t xml:space="preserve"> </w:t>
            </w:r>
            <w:r w:rsidR="00834F48" w:rsidRPr="004B23EB">
              <w:rPr>
                <w:sz w:val="22"/>
                <w:szCs w:val="22"/>
              </w:rPr>
              <w:t>impliquant des enzymes</w:t>
            </w:r>
            <w:r>
              <w:rPr>
                <w:sz w:val="22"/>
                <w:szCs w:val="22"/>
              </w:rPr>
              <w:t> </w:t>
            </w:r>
            <w:r w:rsidR="00940B69" w:rsidRPr="009F3F3D">
              <w:rPr>
                <w:color w:val="70AD47" w:themeColor="accent6"/>
                <w:sz w:val="22"/>
                <w:szCs w:val="22"/>
              </w:rPr>
              <w:t xml:space="preserve">(ADN polymérase) </w:t>
            </w:r>
            <w:r>
              <w:rPr>
                <w:sz w:val="22"/>
                <w:szCs w:val="22"/>
              </w:rPr>
              <w:t xml:space="preserve">; de </w:t>
            </w:r>
            <w:r w:rsidR="00ED06EA">
              <w:rPr>
                <w:sz w:val="22"/>
                <w:szCs w:val="22"/>
              </w:rPr>
              <w:t xml:space="preserve">transmission </w:t>
            </w:r>
            <w:r w:rsidR="00ED06EA" w:rsidRPr="004B23EB">
              <w:rPr>
                <w:sz w:val="22"/>
                <w:szCs w:val="22"/>
              </w:rPr>
              <w:t>à</w:t>
            </w:r>
            <w:r w:rsidRPr="004B23EB">
              <w:rPr>
                <w:sz w:val="22"/>
                <w:szCs w:val="22"/>
              </w:rPr>
              <w:t xml:space="preserve"> l’issue de la réplication </w:t>
            </w:r>
            <w:r>
              <w:rPr>
                <w:sz w:val="22"/>
                <w:szCs w:val="22"/>
              </w:rPr>
              <w:t xml:space="preserve">en cas de </w:t>
            </w:r>
            <w:r w:rsidR="00834F48" w:rsidRPr="004B23EB">
              <w:rPr>
                <w:sz w:val="22"/>
                <w:szCs w:val="22"/>
              </w:rPr>
              <w:t>réparation n</w:t>
            </w:r>
            <w:r>
              <w:rPr>
                <w:sz w:val="22"/>
                <w:szCs w:val="22"/>
              </w:rPr>
              <w:t xml:space="preserve">on </w:t>
            </w:r>
            <w:r w:rsidR="00834F48" w:rsidRPr="004B23EB">
              <w:rPr>
                <w:sz w:val="22"/>
                <w:szCs w:val="22"/>
              </w:rPr>
              <w:t>conforme</w:t>
            </w:r>
            <w:r w:rsidR="00940B69">
              <w:rPr>
                <w:sz w:val="22"/>
                <w:szCs w:val="22"/>
              </w:rPr>
              <w:t xml:space="preserve"> (persistance de</w:t>
            </w:r>
            <w:r w:rsidR="00834F48" w:rsidRPr="004B23EB">
              <w:rPr>
                <w:sz w:val="22"/>
                <w:szCs w:val="22"/>
              </w:rPr>
              <w:t xml:space="preserve"> la mutation</w:t>
            </w:r>
            <w:r w:rsidR="00940B69">
              <w:rPr>
                <w:sz w:val="22"/>
                <w:szCs w:val="22"/>
              </w:rPr>
              <w:t>).</w:t>
            </w:r>
            <w:r w:rsidR="00834F48" w:rsidRPr="004B23EB">
              <w:rPr>
                <w:sz w:val="22"/>
                <w:szCs w:val="22"/>
              </w:rPr>
              <w:t xml:space="preserve"> </w:t>
            </w:r>
          </w:p>
          <w:p w14:paraId="0548EC3E" w14:textId="20D8DBC4" w:rsidR="005700E8" w:rsidRPr="004B23EB" w:rsidRDefault="00940B69" w:rsidP="00834F48">
            <w:pPr>
              <w:pStyle w:val="NormalWeb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Concernant les conséquences à</w:t>
            </w:r>
            <w:r w:rsidR="005700E8" w:rsidRPr="004B23EB">
              <w:rPr>
                <w:b/>
                <w:bCs/>
                <w:color w:val="000000" w:themeColor="text1"/>
                <w:sz w:val="22"/>
                <w:szCs w:val="22"/>
              </w:rPr>
              <w:t xml:space="preserve"> l’échelle d’une population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animale dont l’être humain :</w:t>
            </w:r>
          </w:p>
          <w:p w14:paraId="599BBEDE" w14:textId="68B86038" w:rsidR="00E45DE4" w:rsidRDefault="00940B69" w:rsidP="005700E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Lien entre mutation au niveau d’une </w:t>
            </w:r>
            <w:r w:rsidRPr="009F3F3D">
              <w:rPr>
                <w:color w:val="70AD47" w:themeColor="accent6"/>
                <w:sz w:val="22"/>
                <w:szCs w:val="22"/>
              </w:rPr>
              <w:t xml:space="preserve">cellule germinale </w:t>
            </w:r>
            <w:r>
              <w:rPr>
                <w:sz w:val="22"/>
                <w:szCs w:val="22"/>
              </w:rPr>
              <w:t>(</w:t>
            </w:r>
            <w:r w:rsidRPr="004B23EB">
              <w:rPr>
                <w:sz w:val="22"/>
                <w:szCs w:val="22"/>
              </w:rPr>
              <w:t>potentiellement héréditaire</w:t>
            </w:r>
            <w:r>
              <w:rPr>
                <w:sz w:val="22"/>
                <w:szCs w:val="22"/>
              </w:rPr>
              <w:t>)</w:t>
            </w:r>
            <w:r w:rsidRPr="004B2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et </w:t>
            </w:r>
            <w:r w:rsidR="005700E8" w:rsidRPr="004B23EB">
              <w:rPr>
                <w:sz w:val="22"/>
                <w:szCs w:val="22"/>
              </w:rPr>
              <w:t>propag</w:t>
            </w:r>
            <w:r>
              <w:rPr>
                <w:sz w:val="22"/>
                <w:szCs w:val="22"/>
              </w:rPr>
              <w:t>ation.</w:t>
            </w:r>
          </w:p>
          <w:p w14:paraId="46F63B44" w14:textId="77777777" w:rsidR="00E45DE4" w:rsidRDefault="00E45DE4" w:rsidP="00E45DE4">
            <w:pPr>
              <w:pStyle w:val="NormalWeb"/>
              <w:rPr>
                <w:color w:val="C45911" w:themeColor="accent2" w:themeShade="BF"/>
                <w:sz w:val="22"/>
                <w:szCs w:val="22"/>
              </w:rPr>
            </w:pPr>
            <w:r w:rsidRPr="00E45DE4">
              <w:rPr>
                <w:color w:val="C45911" w:themeColor="accent2" w:themeShade="BF"/>
                <w:sz w:val="22"/>
                <w:szCs w:val="22"/>
              </w:rPr>
              <w:t xml:space="preserve">On attend que les élèves </w:t>
            </w:r>
            <w:r>
              <w:rPr>
                <w:color w:val="C45911" w:themeColor="accent2" w:themeShade="BF"/>
                <w:sz w:val="22"/>
                <w:szCs w:val="22"/>
              </w:rPr>
              <w:t>étayent leur propos avec :</w:t>
            </w:r>
          </w:p>
          <w:p w14:paraId="6F4C79C4" w14:textId="77777777" w:rsidR="00E45DE4" w:rsidRPr="00E45DE4" w:rsidRDefault="004D1658" w:rsidP="00E45DE4">
            <w:pPr>
              <w:pStyle w:val="NormalWeb"/>
              <w:numPr>
                <w:ilvl w:val="0"/>
                <w:numId w:val="4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u</w:t>
            </w:r>
            <w:r w:rsidR="00E45DE4">
              <w:rPr>
                <w:color w:val="C45911" w:themeColor="accent2" w:themeShade="BF"/>
                <w:sz w:val="22"/>
                <w:szCs w:val="22"/>
              </w:rPr>
              <w:t xml:space="preserve">n exemple </w:t>
            </w:r>
            <w:r w:rsidR="00E45DE4" w:rsidRPr="00E45DE4">
              <w:rPr>
                <w:color w:val="C45911" w:themeColor="accent2" w:themeShade="BF"/>
                <w:sz w:val="22"/>
                <w:szCs w:val="22"/>
              </w:rPr>
              <w:t>d’agent mutagène ;</w:t>
            </w:r>
          </w:p>
          <w:p w14:paraId="63E83AC7" w14:textId="1129DCAC" w:rsidR="00E45DE4" w:rsidRPr="00E45DE4" w:rsidRDefault="00940B69" w:rsidP="00E45DE4">
            <w:pPr>
              <w:pStyle w:val="NormalWeb"/>
              <w:numPr>
                <w:ilvl w:val="0"/>
                <w:numId w:val="4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une illustration des </w:t>
            </w:r>
            <w:r w:rsidR="00E45DE4" w:rsidRPr="00E45DE4">
              <w:rPr>
                <w:color w:val="C45911" w:themeColor="accent2" w:themeShade="BF"/>
                <w:sz w:val="22"/>
                <w:szCs w:val="22"/>
              </w:rPr>
              <w:t>différent</w:t>
            </w:r>
            <w:r>
              <w:rPr>
                <w:color w:val="C45911" w:themeColor="accent2" w:themeShade="BF"/>
                <w:sz w:val="22"/>
                <w:szCs w:val="22"/>
              </w:rPr>
              <w:t>s</w:t>
            </w:r>
            <w:r w:rsidR="00E45DE4">
              <w:rPr>
                <w:color w:val="C45911" w:themeColor="accent2" w:themeShade="BF"/>
                <w:sz w:val="22"/>
                <w:szCs w:val="22"/>
              </w:rPr>
              <w:t xml:space="preserve"> types </w:t>
            </w:r>
            <w:r w:rsidR="00E45DE4" w:rsidRPr="00E45DE4">
              <w:rPr>
                <w:color w:val="C45911" w:themeColor="accent2" w:themeShade="BF"/>
                <w:sz w:val="22"/>
                <w:szCs w:val="22"/>
              </w:rPr>
              <w:t xml:space="preserve"> mutations et </w:t>
            </w:r>
            <w:r>
              <w:rPr>
                <w:color w:val="C45911" w:themeColor="accent2" w:themeShade="BF"/>
                <w:sz w:val="22"/>
                <w:szCs w:val="22"/>
              </w:rPr>
              <w:t xml:space="preserve">de </w:t>
            </w:r>
            <w:r w:rsidR="00E45DE4" w:rsidRPr="00E45DE4">
              <w:rPr>
                <w:color w:val="C45911" w:themeColor="accent2" w:themeShade="BF"/>
                <w:sz w:val="22"/>
                <w:szCs w:val="22"/>
              </w:rPr>
              <w:t>leurs conséquences ;</w:t>
            </w:r>
          </w:p>
          <w:p w14:paraId="7D1903CA" w14:textId="59C5B7FB" w:rsidR="00E45DE4" w:rsidRPr="00E45DE4" w:rsidRDefault="00E45DE4" w:rsidP="00E45DE4">
            <w:pPr>
              <w:pStyle w:val="NormalWe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un exemple d’allèle rép</w:t>
            </w:r>
            <w:r w:rsidR="00617CAC">
              <w:rPr>
                <w:color w:val="C45911" w:themeColor="accent2" w:themeShade="BF"/>
                <w:sz w:val="22"/>
                <w:szCs w:val="22"/>
              </w:rPr>
              <w:t>a</w:t>
            </w:r>
            <w:r>
              <w:rPr>
                <w:color w:val="C45911" w:themeColor="accent2" w:themeShade="BF"/>
                <w:sz w:val="22"/>
                <w:szCs w:val="22"/>
              </w:rPr>
              <w:t>ndu dans une population</w:t>
            </w:r>
            <w:r w:rsidR="004D1658">
              <w:rPr>
                <w:color w:val="C45911" w:themeColor="accent2" w:themeShade="BF"/>
                <w:sz w:val="22"/>
                <w:szCs w:val="22"/>
              </w:rPr>
              <w:t>.</w:t>
            </w:r>
          </w:p>
        </w:tc>
      </w:tr>
    </w:tbl>
    <w:p w14:paraId="5463A7AF" w14:textId="77777777" w:rsidR="00CA6D25" w:rsidRPr="00CA6D25" w:rsidRDefault="00CA6D25" w:rsidP="00CA6D25">
      <w:pPr>
        <w:rPr>
          <w:b/>
          <w:bCs/>
        </w:rPr>
      </w:pPr>
    </w:p>
    <w:p w14:paraId="0E24CE87" w14:textId="77777777" w:rsidR="00CA6D25" w:rsidRDefault="00CA6D25" w:rsidP="00CA6D25"/>
    <w:sectPr w:rsidR="00CA6D25" w:rsidSect="00E04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2DBE" w14:textId="77777777" w:rsidR="00AF7AE7" w:rsidRDefault="00AF7AE7" w:rsidP="00CA6D25">
      <w:r>
        <w:separator/>
      </w:r>
    </w:p>
  </w:endnote>
  <w:endnote w:type="continuationSeparator" w:id="0">
    <w:p w14:paraId="2F2BF94E" w14:textId="77777777" w:rsidR="00AF7AE7" w:rsidRDefault="00AF7AE7" w:rsidP="00C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BF595" w14:textId="77777777" w:rsidR="00AF7AE7" w:rsidRDefault="00AF7AE7" w:rsidP="00CA6D25">
      <w:r>
        <w:separator/>
      </w:r>
    </w:p>
  </w:footnote>
  <w:footnote w:type="continuationSeparator" w:id="0">
    <w:p w14:paraId="4DA32D1C" w14:textId="77777777" w:rsidR="00AF7AE7" w:rsidRDefault="00AF7AE7" w:rsidP="00CA6D25">
      <w:r>
        <w:continuationSeparator/>
      </w:r>
    </w:p>
  </w:footnote>
  <w:footnote w:id="1">
    <w:p w14:paraId="7246E7A5" w14:textId="77777777" w:rsidR="00617CAC" w:rsidRDefault="00617CAC" w:rsidP="00617CAC">
      <w:pPr>
        <w:pStyle w:val="Notedebasdepage"/>
      </w:pPr>
      <w:r>
        <w:rPr>
          <w:rStyle w:val="Appelnotedebasdep"/>
        </w:rPr>
        <w:footnoteRef/>
      </w:r>
      <w:r>
        <w:t xml:space="preserve"> Complétude : caractère de ce qui est complet, achevé (en référence à l’objet du sujet ici).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62A7"/>
    <w:multiLevelType w:val="hybridMultilevel"/>
    <w:tmpl w:val="485430FC"/>
    <w:lvl w:ilvl="0" w:tplc="A8F66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7D90"/>
    <w:multiLevelType w:val="hybridMultilevel"/>
    <w:tmpl w:val="6E7E657A"/>
    <w:lvl w:ilvl="0" w:tplc="5478E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D26BB"/>
    <w:multiLevelType w:val="hybridMultilevel"/>
    <w:tmpl w:val="6878459C"/>
    <w:lvl w:ilvl="0" w:tplc="A51A6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5"/>
    <w:rsid w:val="00010CAC"/>
    <w:rsid w:val="00080FE1"/>
    <w:rsid w:val="000A544D"/>
    <w:rsid w:val="00187BCE"/>
    <w:rsid w:val="004308EE"/>
    <w:rsid w:val="004719CE"/>
    <w:rsid w:val="004B23EB"/>
    <w:rsid w:val="004D1658"/>
    <w:rsid w:val="004F3289"/>
    <w:rsid w:val="005700E8"/>
    <w:rsid w:val="005766C1"/>
    <w:rsid w:val="006074B9"/>
    <w:rsid w:val="00617CAC"/>
    <w:rsid w:val="0064164D"/>
    <w:rsid w:val="00664DC3"/>
    <w:rsid w:val="006D2E16"/>
    <w:rsid w:val="00756BCE"/>
    <w:rsid w:val="00834F48"/>
    <w:rsid w:val="0083753D"/>
    <w:rsid w:val="008E1FDB"/>
    <w:rsid w:val="00940B69"/>
    <w:rsid w:val="009A4A39"/>
    <w:rsid w:val="009C19C5"/>
    <w:rsid w:val="009F3F3D"/>
    <w:rsid w:val="009F65AB"/>
    <w:rsid w:val="00A1048E"/>
    <w:rsid w:val="00AB4E22"/>
    <w:rsid w:val="00AF7AE7"/>
    <w:rsid w:val="00CA6D25"/>
    <w:rsid w:val="00D91B68"/>
    <w:rsid w:val="00E04003"/>
    <w:rsid w:val="00E1114B"/>
    <w:rsid w:val="00E45DE4"/>
    <w:rsid w:val="00EB21DB"/>
    <w:rsid w:val="00ED06EA"/>
    <w:rsid w:val="00EE55B2"/>
    <w:rsid w:val="00EF72E7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17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C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17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C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Moullet</dc:creator>
  <cp:lastModifiedBy>Medion</cp:lastModifiedBy>
  <cp:revision>6</cp:revision>
  <cp:lastPrinted>2019-11-28T13:41:00Z</cp:lastPrinted>
  <dcterms:created xsi:type="dcterms:W3CDTF">2019-10-28T07:55:00Z</dcterms:created>
  <dcterms:modified xsi:type="dcterms:W3CDTF">2019-11-28T13:41:00Z</dcterms:modified>
</cp:coreProperties>
</file>