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5" w:rsidRPr="009C2819" w:rsidRDefault="00CA6D25" w:rsidP="00CA6D25">
      <w:pPr>
        <w:shd w:val="clear" w:color="auto" w:fill="FFF2CC" w:themeFill="accent4" w:themeFillTint="33"/>
        <w:rPr>
          <w:i/>
          <w:sz w:val="22"/>
          <w:szCs w:val="22"/>
        </w:rPr>
      </w:pPr>
      <w:bookmarkStart w:id="0" w:name="_GoBack"/>
      <w:bookmarkEnd w:id="0"/>
      <w:r w:rsidRPr="009C2819">
        <w:rPr>
          <w:b/>
          <w:iCs/>
          <w:sz w:val="22"/>
          <w:szCs w:val="22"/>
        </w:rPr>
        <w:t>Proposition 1-</w:t>
      </w:r>
      <w:r w:rsidR="00C03E65">
        <w:rPr>
          <w:b/>
          <w:iCs/>
          <w:sz w:val="22"/>
          <w:szCs w:val="22"/>
        </w:rPr>
        <w:t>4</w:t>
      </w:r>
    </w:p>
    <w:p w:rsidR="00CA6D25" w:rsidRPr="004B23EB" w:rsidRDefault="00CA6D25" w:rsidP="00CA6D25">
      <w:pPr>
        <w:rPr>
          <w:b/>
          <w:i/>
          <w:sz w:val="10"/>
          <w:szCs w:val="10"/>
        </w:rPr>
      </w:pPr>
    </w:p>
    <w:p w:rsidR="00633E6E" w:rsidRDefault="00633E6E" w:rsidP="00633E6E">
      <w:pPr>
        <w:rPr>
          <w:b/>
          <w:sz w:val="22"/>
          <w:szCs w:val="22"/>
        </w:rPr>
      </w:pPr>
      <w:r w:rsidRPr="009C2819">
        <w:rPr>
          <w:b/>
          <w:sz w:val="22"/>
          <w:szCs w:val="22"/>
        </w:rPr>
        <w:t>Exercice 1 sur 10 points</w:t>
      </w:r>
    </w:p>
    <w:p w:rsidR="00C03E65" w:rsidRDefault="00C03E65" w:rsidP="00633E6E">
      <w:pPr>
        <w:rPr>
          <w:b/>
          <w:sz w:val="22"/>
          <w:szCs w:val="22"/>
        </w:rPr>
      </w:pPr>
    </w:p>
    <w:p w:rsidR="00C03E65" w:rsidRPr="00C03E65" w:rsidRDefault="00C03E65" w:rsidP="00633E6E">
      <w:pPr>
        <w:rPr>
          <w:bCs/>
          <w:i/>
          <w:iCs/>
          <w:sz w:val="22"/>
          <w:szCs w:val="22"/>
          <w:u w:val="single"/>
        </w:rPr>
      </w:pPr>
      <w:r w:rsidRPr="00C03E65">
        <w:rPr>
          <w:bCs/>
          <w:i/>
          <w:iCs/>
          <w:sz w:val="22"/>
          <w:szCs w:val="22"/>
          <w:u w:val="single"/>
        </w:rPr>
        <w:t>Première partie</w:t>
      </w:r>
    </w:p>
    <w:p w:rsidR="00C03E65" w:rsidRPr="00C03E65" w:rsidRDefault="00C03E65" w:rsidP="00633E6E">
      <w:pPr>
        <w:rPr>
          <w:b/>
          <w:i/>
          <w:iCs/>
          <w:sz w:val="22"/>
          <w:szCs w:val="22"/>
        </w:rPr>
      </w:pPr>
    </w:p>
    <w:p w:rsidR="00C03E65" w:rsidRDefault="00C03E65" w:rsidP="0063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Réponses au QCM</w:t>
      </w:r>
    </w:p>
    <w:p w:rsidR="00C03E65" w:rsidRDefault="00C03E65" w:rsidP="00633E6E">
      <w:pPr>
        <w:rPr>
          <w:b/>
          <w:sz w:val="22"/>
          <w:szCs w:val="22"/>
        </w:rPr>
      </w:pPr>
    </w:p>
    <w:p w:rsidR="00C03E65" w:rsidRDefault="00C03E65" w:rsidP="0063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B4C90">
        <w:rPr>
          <w:b/>
          <w:sz w:val="22"/>
          <w:szCs w:val="22"/>
        </w:rPr>
        <w:t xml:space="preserve"> ; </w:t>
      </w:r>
      <w:r>
        <w:rPr>
          <w:b/>
          <w:sz w:val="22"/>
          <w:szCs w:val="22"/>
        </w:rPr>
        <w:t>3</w:t>
      </w:r>
      <w:r w:rsidR="00BB4C90">
        <w:rPr>
          <w:b/>
          <w:sz w:val="22"/>
          <w:szCs w:val="22"/>
        </w:rPr>
        <w:t xml:space="preserve"> ; </w:t>
      </w:r>
      <w:r>
        <w:rPr>
          <w:b/>
          <w:sz w:val="22"/>
          <w:szCs w:val="22"/>
        </w:rPr>
        <w:t>1</w:t>
      </w:r>
    </w:p>
    <w:p w:rsidR="00C03E65" w:rsidRDefault="00C03E65" w:rsidP="00633E6E">
      <w:pPr>
        <w:rPr>
          <w:b/>
          <w:sz w:val="22"/>
          <w:szCs w:val="22"/>
        </w:rPr>
      </w:pPr>
    </w:p>
    <w:p w:rsidR="00C03E65" w:rsidRPr="00380D22" w:rsidRDefault="00380D22" w:rsidP="00633E6E">
      <w:pPr>
        <w:rPr>
          <w:bCs/>
          <w:i/>
          <w:iCs/>
          <w:sz w:val="22"/>
          <w:szCs w:val="22"/>
          <w:u w:val="single"/>
        </w:rPr>
      </w:pPr>
      <w:r w:rsidRPr="00380D22">
        <w:rPr>
          <w:bCs/>
          <w:i/>
          <w:iCs/>
          <w:sz w:val="22"/>
          <w:szCs w:val="22"/>
          <w:u w:val="single"/>
        </w:rPr>
        <w:t>Deuxième partie</w:t>
      </w:r>
    </w:p>
    <w:p w:rsidR="00380D22" w:rsidRDefault="00380D22" w:rsidP="00633E6E">
      <w:pPr>
        <w:rPr>
          <w:b/>
          <w:sz w:val="22"/>
          <w:szCs w:val="22"/>
        </w:rPr>
      </w:pPr>
    </w:p>
    <w:p w:rsidR="00380D22" w:rsidRPr="009744EA" w:rsidRDefault="00380D22" w:rsidP="00380D22">
      <w:pPr>
        <w:rPr>
          <w:iCs/>
          <w:color w:val="000000" w:themeColor="text1"/>
          <w:sz w:val="22"/>
          <w:szCs w:val="22"/>
          <w:u w:val="single"/>
        </w:rPr>
      </w:pPr>
      <w:r w:rsidRPr="00B14FF8">
        <w:rPr>
          <w:iCs/>
          <w:color w:val="000000" w:themeColor="text1"/>
          <w:sz w:val="22"/>
          <w:szCs w:val="22"/>
          <w:u w:val="single"/>
        </w:rPr>
        <w:t>Les roches magmatiques dans une zone de subduction</w:t>
      </w:r>
    </w:p>
    <w:p w:rsidR="00380D22" w:rsidRPr="009C2819" w:rsidRDefault="00380D22" w:rsidP="00380D22">
      <w:pPr>
        <w:rPr>
          <w:iCs/>
          <w:color w:val="000000" w:themeColor="text1"/>
          <w:sz w:val="22"/>
          <w:szCs w:val="22"/>
        </w:rPr>
      </w:pPr>
      <w:r w:rsidRPr="00CE0939">
        <w:rPr>
          <w:iCs/>
          <w:color w:val="000000" w:themeColor="text1"/>
          <w:sz w:val="22"/>
          <w:szCs w:val="22"/>
        </w:rPr>
        <w:t>Les zones de subduction sont des zones à risques sismique et volcanique. Les éruptions peuvent y être particulièrement destructrices car liées à un volcanisme explosif dont la nature du magma en est la cause.</w:t>
      </w:r>
      <w:r>
        <w:rPr>
          <w:iCs/>
          <w:color w:val="000000" w:themeColor="text1"/>
          <w:sz w:val="22"/>
          <w:szCs w:val="22"/>
        </w:rPr>
        <w:t xml:space="preserve"> </w:t>
      </w:r>
    </w:p>
    <w:p w:rsidR="00380D22" w:rsidRPr="009C2819" w:rsidRDefault="00380D22" w:rsidP="00380D22">
      <w:pPr>
        <w:rPr>
          <w:iCs/>
          <w:color w:val="000000" w:themeColor="text1"/>
          <w:sz w:val="22"/>
          <w:szCs w:val="22"/>
        </w:rPr>
      </w:pPr>
    </w:p>
    <w:p w:rsidR="00380D22" w:rsidRPr="009C2819" w:rsidRDefault="00380D22" w:rsidP="00380D22">
      <w:pPr>
        <w:rPr>
          <w:b/>
          <w:iCs/>
          <w:color w:val="000000" w:themeColor="text1"/>
          <w:sz w:val="22"/>
          <w:szCs w:val="22"/>
        </w:rPr>
      </w:pPr>
      <w:r w:rsidRPr="009C2819">
        <w:rPr>
          <w:b/>
          <w:iCs/>
          <w:color w:val="000000" w:themeColor="text1"/>
          <w:sz w:val="22"/>
          <w:szCs w:val="22"/>
        </w:rPr>
        <w:t xml:space="preserve">Expliquer comment la subduction d’une plaque lithosphérique peut conduire à la genèse de roches </w:t>
      </w:r>
      <w:proofErr w:type="gramStart"/>
      <w:r w:rsidRPr="009C2819">
        <w:rPr>
          <w:b/>
          <w:iCs/>
          <w:color w:val="000000" w:themeColor="text1"/>
          <w:sz w:val="22"/>
          <w:szCs w:val="22"/>
        </w:rPr>
        <w:t>magmatiques</w:t>
      </w:r>
      <w:proofErr w:type="gramEnd"/>
      <w:r w:rsidRPr="009C2819">
        <w:rPr>
          <w:b/>
          <w:iCs/>
          <w:color w:val="000000" w:themeColor="text1"/>
          <w:sz w:val="22"/>
          <w:szCs w:val="22"/>
        </w:rPr>
        <w:t>.</w:t>
      </w:r>
    </w:p>
    <w:p w:rsidR="00380D22" w:rsidRPr="009C2819" w:rsidRDefault="00380D22" w:rsidP="00380D22">
      <w:pPr>
        <w:rPr>
          <w:b/>
          <w:sz w:val="22"/>
          <w:szCs w:val="22"/>
        </w:rPr>
      </w:pPr>
    </w:p>
    <w:p w:rsidR="00CA6D25" w:rsidRPr="004B23EB" w:rsidRDefault="00380D22" w:rsidP="00380D22">
      <w:pPr>
        <w:rPr>
          <w:sz w:val="10"/>
          <w:szCs w:val="10"/>
        </w:rPr>
      </w:pPr>
      <w:r w:rsidRPr="009C2819">
        <w:rPr>
          <w:bCs/>
          <w:i/>
          <w:iCs/>
          <w:sz w:val="22"/>
          <w:szCs w:val="22"/>
        </w:rPr>
        <w:t>Vous rédigerez un exposé structuré. Vous pouvez vous appuyer sur des représentations graphiques judicieusement choisies. On attend des arguments pour illustrer l’exposé comme des expériences, des observations, des exemples ...</w:t>
      </w:r>
    </w:p>
    <w:p w:rsidR="00CA6D25" w:rsidRDefault="00CA6D25" w:rsidP="00CA6D25">
      <w:pPr>
        <w:rPr>
          <w:b/>
          <w:bCs/>
        </w:rPr>
      </w:pPr>
      <w:r>
        <w:rPr>
          <w:b/>
          <w:bCs/>
        </w:rPr>
        <w:t>Les critères évalués sont indiqués dans la colonne de gauche, les indicateurs de la colonne de droite sont déclinés pour ce sujet.</w:t>
      </w:r>
    </w:p>
    <w:p w:rsidR="00CA6D25" w:rsidRDefault="00CA6D25" w:rsidP="00CA6D25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CA6D25" w:rsidRPr="00834F48" w:rsidTr="004B23EB">
        <w:tc>
          <w:tcPr>
            <w:tcW w:w="3681" w:type="dxa"/>
          </w:tcPr>
          <w:p w:rsidR="00CA6D25" w:rsidRPr="00664DC3" w:rsidRDefault="00CA6D25" w:rsidP="004B23EB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Critères évalués</w:t>
            </w:r>
          </w:p>
        </w:tc>
        <w:tc>
          <w:tcPr>
            <w:tcW w:w="5375" w:type="dxa"/>
          </w:tcPr>
          <w:p w:rsidR="00CA6D25" w:rsidRPr="00664DC3" w:rsidRDefault="00CA6D25" w:rsidP="00CA6D25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Indicateurs</w:t>
            </w:r>
          </w:p>
        </w:tc>
      </w:tr>
      <w:tr w:rsidR="00CA6D25" w:rsidRPr="00834F48" w:rsidTr="004B23EB">
        <w:tc>
          <w:tcPr>
            <w:tcW w:w="3681" w:type="dxa"/>
          </w:tcPr>
          <w:p w:rsidR="00CA6D25" w:rsidRDefault="00CA6D25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Cohérence de l’organisation du propos par rapport au questionnement posé</w:t>
            </w:r>
            <w:r w:rsid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.</w:t>
            </w:r>
          </w:p>
          <w:p w:rsidR="009A4A39" w:rsidRDefault="009A4A39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</w:p>
          <w:p w:rsidR="009A4A39" w:rsidRPr="009A4A39" w:rsidRDefault="009A4A39" w:rsidP="009A4A39">
            <w:pPr>
              <w:pStyle w:val="Paragraphedeliste"/>
              <w:ind w:left="0"/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</w:pPr>
            <w:proofErr w:type="spellStart"/>
            <w:r w:rsidRPr="009A4A39"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  <w:t>A</w:t>
            </w:r>
            <w:proofErr w:type="spellEnd"/>
            <w:r w:rsidRPr="009A4A39"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  <w:t xml:space="preserve"> propos de l’organisation de l’exposé :</w:t>
            </w:r>
          </w:p>
          <w:p w:rsidR="009A4A39" w:rsidRPr="009A4A39" w:rsidRDefault="009A4A39" w:rsidP="009A4A39">
            <w:pPr>
              <w:pStyle w:val="Paragraphedeliste"/>
              <w:ind w:left="0"/>
              <w:rPr>
                <w:color w:val="2E74B5" w:themeColor="accent5" w:themeShade="BF"/>
                <w:sz w:val="22"/>
                <w:szCs w:val="22"/>
              </w:rPr>
            </w:pPr>
          </w:p>
          <w:p w:rsidR="009A4A39" w:rsidRPr="009A4A39" w:rsidRDefault="009A4A39" w:rsidP="009A4A39">
            <w:pPr>
              <w:pStyle w:val="Paragraphedeliste"/>
              <w:ind w:left="0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9A4A39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Les éléments mobilisables précisés dans la colonne de droite ci-dessous (en noir) ne donne pas un plan ou une organisation type. Les éléments indiqués ci-contre sont ceux qu’un élève peut mobiliser à partir du programme. Toutes les organisations logiques permettant de répondre à la question sont recevables.</w:t>
            </w:r>
          </w:p>
          <w:p w:rsidR="009A4A39" w:rsidRPr="004B23EB" w:rsidRDefault="009A4A39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</w:p>
          <w:p w:rsidR="00CA6D25" w:rsidRPr="004B23EB" w:rsidRDefault="00CA6D25" w:rsidP="004B23EB">
            <w:pPr>
              <w:pStyle w:val="Paragraphedeliste"/>
              <w:ind w:left="0"/>
              <w:rPr>
                <w:i/>
                <w:sz w:val="22"/>
                <w:szCs w:val="22"/>
              </w:rPr>
            </w:pPr>
          </w:p>
          <w:p w:rsidR="00834F48" w:rsidRPr="004B23EB" w:rsidRDefault="00834F48" w:rsidP="004B23E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34F48" w:rsidRPr="004B23EB" w:rsidRDefault="00834F48" w:rsidP="004B23EB">
            <w:pPr>
              <w:pStyle w:val="Paragraphedeliste"/>
              <w:ind w:left="0"/>
              <w:rPr>
                <w:i/>
                <w:sz w:val="22"/>
                <w:szCs w:val="22"/>
              </w:rPr>
            </w:pPr>
          </w:p>
          <w:p w:rsidR="00BB4C90" w:rsidRDefault="00BB4C90" w:rsidP="00D75DFF">
            <w:pPr>
              <w:pStyle w:val="Paragraphedeliste"/>
              <w:ind w:left="0"/>
              <w:rPr>
                <w:rFonts w:eastAsia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  <w:lang w:eastAsia="en-US"/>
              </w:rPr>
            </w:pPr>
          </w:p>
          <w:p w:rsidR="00D75DFF" w:rsidRPr="0083753D" w:rsidRDefault="00D75DFF" w:rsidP="00D75DFF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  <w:r w:rsidRPr="0083753D">
              <w:rPr>
                <w:rFonts w:eastAsia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  <w:lang w:eastAsia="en-US"/>
              </w:rPr>
              <w:t>Exactitude et complétude</w:t>
            </w:r>
            <w:r w:rsidRPr="0083753D">
              <w:rPr>
                <w:rFonts w:eastAsiaTheme="minorHAnsi"/>
                <w:color w:val="7030A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83753D">
              <w:rPr>
                <w:rFonts w:eastAsiaTheme="minorHAnsi"/>
                <w:color w:val="7030A0"/>
                <w:sz w:val="22"/>
                <w:szCs w:val="22"/>
                <w:lang w:eastAsia="en-US"/>
              </w:rPr>
              <w:t xml:space="preserve"> des éléments nécessaires pour traiter le sujet (connaissances ; expériences, observations, exemples) </w:t>
            </w:r>
          </w:p>
          <w:p w:rsidR="005700E8" w:rsidRPr="004B23EB" w:rsidRDefault="005700E8" w:rsidP="004B2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B23EB" w:rsidRDefault="004B23EB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4B23EB">
              <w:rPr>
                <w:b/>
                <w:bCs/>
                <w:i/>
                <w:iCs/>
                <w:sz w:val="22"/>
                <w:szCs w:val="22"/>
                <w:u w:val="single"/>
              </w:rPr>
              <w:t>A</w:t>
            </w:r>
            <w:proofErr w:type="spellEnd"/>
            <w:r w:rsidRPr="004B23E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propos de la complétude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 : </w:t>
            </w:r>
          </w:p>
          <w:p w:rsidR="004B23EB" w:rsidRDefault="004B23EB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4B23EB" w:rsidRDefault="004B23EB" w:rsidP="004B23E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éléments indiqués sont directement issus du programme, c’est à dire des éléments exigibles. On n’attend pas qu’un élève « récite par cœur » ces phrases et ces mots clés mais qu’il se les approprie et les organise en un tout cohérent.</w:t>
            </w: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D75DFF" w:rsidRDefault="00D75DFF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BB4C90" w:rsidRDefault="00BB4C90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Pr="00E45DE4" w:rsidRDefault="00E45DE4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  <w:proofErr w:type="spellStart"/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>A</w:t>
            </w:r>
            <w:proofErr w:type="spellEnd"/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 xml:space="preserve"> propos des </w:t>
            </w:r>
            <w:r w:rsidR="00A621E9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 xml:space="preserve">observations, des expériences, des </w:t>
            </w:r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>exemples :</w:t>
            </w:r>
          </w:p>
          <w:p w:rsidR="00E45DE4" w:rsidRPr="004B23EB" w:rsidRDefault="00E45DE4" w:rsidP="00E45DE4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Pr="004B23EB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:rsidR="009A4A39" w:rsidRDefault="009A4A39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</w:p>
          <w:p w:rsidR="00A621E9" w:rsidRDefault="00A621E9" w:rsidP="00CA6D25">
            <w:pPr>
              <w:pStyle w:val="Default"/>
              <w:spacing w:after="14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</w:p>
          <w:p w:rsidR="00A621E9" w:rsidRDefault="00A621E9" w:rsidP="00CA6D25">
            <w:pPr>
              <w:pStyle w:val="Default"/>
              <w:spacing w:after="14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</w:p>
          <w:p w:rsidR="00F12A63" w:rsidRDefault="00305105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L’élève explique les mécanismes à l’origine de la </w:t>
            </w:r>
            <w:r w:rsidR="00380D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fusion partielle de la </w:t>
            </w: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lithosphère océanique </w:t>
            </w:r>
            <w:r w:rsidR="00380D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en subduction. </w:t>
            </w:r>
          </w:p>
          <w:p w:rsidR="00380D22" w:rsidRDefault="00380D22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fait le lien entre les transformations minéralogiques dans le panneau plongeant et la production d’eau (OH</w:t>
            </w:r>
            <w:r>
              <w:rPr>
                <w:rFonts w:ascii="Times New Roman" w:hAnsi="Times New Roman" w:cs="Times New Roman"/>
                <w:color w:val="002060"/>
                <w:sz w:val="22"/>
                <w:szCs w:val="22"/>
                <w:vertAlign w:val="superscript"/>
              </w:rPr>
              <w:t xml:space="preserve">_ </w:t>
            </w: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exigible)</w:t>
            </w:r>
          </w:p>
          <w:p w:rsidR="00380D22" w:rsidRDefault="00380D22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explique la fusion partielle de la péridotite par l’hydratation de la plaque au-dessus du panneau plongeant.</w:t>
            </w:r>
          </w:p>
          <w:p w:rsidR="00380D22" w:rsidRDefault="00380D22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ne traite pas l’hydratation de la plaque lithosphérique en amont de la subduction (passage au faciès des schistes verts)</w:t>
            </w:r>
          </w:p>
          <w:p w:rsidR="00380D22" w:rsidRDefault="00380D22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ne traite pas des phénomènes volcaniques associés, il peut les évoquer en conclusion.</w:t>
            </w:r>
          </w:p>
          <w:p w:rsidR="00380D22" w:rsidRPr="00380D22" w:rsidRDefault="00380D22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ne traite pas des moteurs</w:t>
            </w:r>
          </w:p>
          <w:p w:rsidR="00380D22" w:rsidRDefault="00380D22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9A4A39" w:rsidRDefault="009A4A39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:rsidR="00380D22" w:rsidRPr="00BB4C90" w:rsidRDefault="00CA6D25" w:rsidP="00380D22">
            <w:pPr>
              <w:pStyle w:val="Default"/>
              <w:spacing w:after="14"/>
              <w:rPr>
                <w:rFonts w:ascii="Times New Roman" w:hAnsi="Times New Roman" w:cs="Times New Roman"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Les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éléments présentés 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en noir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sont exacts, l’élève utilise un vocabulaire scientifique adéquat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(les mots </w:t>
            </w:r>
            <w:r w:rsidR="00E45DE4" w:rsidRPr="00221D17">
              <w:rPr>
                <w:rFonts w:ascii="Times New Roman" w:hAnsi="Times New Roman" w:cs="Times New Roman"/>
                <w:i/>
                <w:iCs/>
                <w:color w:val="538135" w:themeColor="accent6" w:themeShade="BF"/>
                <w:sz w:val="22"/>
                <w:szCs w:val="22"/>
              </w:rPr>
              <w:t>en vert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issus des programmes)</w:t>
            </w:r>
          </w:p>
          <w:p w:rsidR="00380D22" w:rsidRPr="00380D22" w:rsidRDefault="00380D22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BB4C90" w:rsidRDefault="00BB4C90" w:rsidP="00380D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Les principes idées :</w:t>
            </w:r>
          </w:p>
          <w:p w:rsidR="00BB4C90" w:rsidRPr="00BB4C90" w:rsidRDefault="00BB4C90" w:rsidP="00380D2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C90">
              <w:rPr>
                <w:rFonts w:ascii="Arial" w:hAnsi="Arial" w:cs="Arial"/>
                <w:b/>
                <w:bCs/>
                <w:sz w:val="22"/>
                <w:szCs w:val="22"/>
              </w:rPr>
              <w:t>Les conditions du magmatisme</w:t>
            </w:r>
          </w:p>
          <w:p w:rsidR="00380D22" w:rsidRPr="00BB4C90" w:rsidRDefault="00BB4C90" w:rsidP="00380D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Associée 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380D22" w:rsidRPr="00380D22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zones de subduction</w:t>
            </w:r>
            <w:r w:rsidR="00380D22" w:rsidRPr="00380D22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à un </w:t>
            </w:r>
            <w:r w:rsidRPr="00BB4C90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magmatisme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 sur la </w:t>
            </w:r>
            <w:r w:rsidR="00380D22" w:rsidRPr="00380D22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plaque chevauchante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0D22" w:rsidRDefault="00BB4C90" w:rsidP="00380D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Donner l’origine des magmas :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D22" w:rsidRPr="00380D22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fusion partielle</w:t>
            </w:r>
            <w:r w:rsidR="00380D22" w:rsidRPr="00380D22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380D22" w:rsidRPr="00380D22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coin de manteau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 situé sous la plaque chevauchante</w:t>
            </w:r>
          </w:p>
          <w:p w:rsidR="00380D22" w:rsidRDefault="00BB4C90" w:rsidP="00380D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Donner les conditions de </w:t>
            </w:r>
            <w:r w:rsidR="00380D22" w:rsidRPr="00380D22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fusion partielle</w:t>
            </w:r>
            <w:r w:rsidR="00380D22" w:rsidRPr="00380D22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380D22" w:rsidRPr="00380D22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péridotites</w:t>
            </w: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0D22">
              <w:rPr>
                <w:rFonts w:ascii="Arial" w:hAnsi="Arial" w:cs="Arial"/>
                <w:sz w:val="22"/>
                <w:szCs w:val="22"/>
              </w:rPr>
              <w:t xml:space="preserve">l’hydratation du coin de manteau. </w:t>
            </w:r>
          </w:p>
          <w:p w:rsidR="00BB4C90" w:rsidRPr="00BB4C90" w:rsidRDefault="00BB4C90" w:rsidP="00380D22">
            <w:pPr>
              <w:pStyle w:val="NormalWeb"/>
              <w:rPr>
                <w:b/>
                <w:bCs/>
              </w:rPr>
            </w:pPr>
            <w:r w:rsidRPr="00BB4C90">
              <w:rPr>
                <w:b/>
                <w:bCs/>
              </w:rPr>
              <w:t>L’origine de l’eau</w:t>
            </w:r>
          </w:p>
          <w:p w:rsidR="00BB4C90" w:rsidRDefault="00BB4C90" w:rsidP="00F12A63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Lien entre </w:t>
            </w:r>
            <w:r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T</w:t>
            </w:r>
            <w:r w:rsidRPr="00380D22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ransformations minéralogiques</w:t>
            </w:r>
            <w:r w:rsidRPr="00380D22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BB4C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modification des conditions de pression et de température</w:t>
            </w:r>
          </w:p>
          <w:p w:rsidR="00BB4C90" w:rsidRPr="00BB4C90" w:rsidRDefault="00BB4C90" w:rsidP="00F12A63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Lien entre modification minéralogique et production d’eau (OH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 fluides)</w:t>
            </w:r>
          </w:p>
          <w:p w:rsidR="00E45DE4" w:rsidRPr="00275712" w:rsidRDefault="00E45DE4" w:rsidP="00F12A63">
            <w:pPr>
              <w:pStyle w:val="NormalWeb"/>
            </w:pPr>
            <w:r w:rsidRPr="00E45DE4">
              <w:rPr>
                <w:color w:val="C45911" w:themeColor="accent2" w:themeShade="BF"/>
                <w:sz w:val="22"/>
                <w:szCs w:val="22"/>
              </w:rPr>
              <w:t xml:space="preserve">On attend que les élèves </w:t>
            </w:r>
            <w:r>
              <w:rPr>
                <w:color w:val="C45911" w:themeColor="accent2" w:themeShade="BF"/>
                <w:sz w:val="22"/>
                <w:szCs w:val="22"/>
              </w:rPr>
              <w:t>étayent leur propos avec :</w:t>
            </w:r>
          </w:p>
          <w:p w:rsidR="00F12A63" w:rsidRDefault="00F12A63" w:rsidP="00F12A63">
            <w:pPr>
              <w:pStyle w:val="NormalWeb"/>
              <w:numPr>
                <w:ilvl w:val="0"/>
                <w:numId w:val="5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Une </w:t>
            </w:r>
            <w:r w:rsidR="00AA6B14">
              <w:rPr>
                <w:color w:val="C45911" w:themeColor="accent2" w:themeShade="BF"/>
                <w:sz w:val="22"/>
                <w:szCs w:val="22"/>
              </w:rPr>
              <w:t xml:space="preserve">explication des conditions de fusion de la </w:t>
            </w:r>
            <w:r w:rsidR="002349DE">
              <w:rPr>
                <w:color w:val="C45911" w:themeColor="accent2" w:themeShade="BF"/>
                <w:sz w:val="22"/>
                <w:szCs w:val="22"/>
              </w:rPr>
              <w:t>péridotite</w:t>
            </w:r>
            <w:r w:rsidR="00AA6B14">
              <w:rPr>
                <w:color w:val="C45911" w:themeColor="accent2" w:themeShade="BF"/>
                <w:sz w:val="22"/>
                <w:szCs w:val="22"/>
              </w:rPr>
              <w:t xml:space="preserve"> à l’aplomb des dorsales (par exemple le modèle proposé en document 1)</w:t>
            </w:r>
          </w:p>
          <w:p w:rsidR="00AA6B14" w:rsidRDefault="00AA6B14" w:rsidP="00F12A63">
            <w:pPr>
              <w:pStyle w:val="NormalWeb"/>
              <w:numPr>
                <w:ilvl w:val="0"/>
                <w:numId w:val="5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Des exemples de roches produites à l’aplomb des dorsales </w:t>
            </w:r>
          </w:p>
          <w:p w:rsidR="00AA6B14" w:rsidRPr="00F12A63" w:rsidRDefault="00AA6B14" w:rsidP="00F12A63">
            <w:pPr>
              <w:pStyle w:val="NormalWeb"/>
              <w:numPr>
                <w:ilvl w:val="0"/>
                <w:numId w:val="5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Des exemples de transformations minérales lors de l’hydrothermalisme (par exemple celles proposées dans le document 2)</w:t>
            </w:r>
          </w:p>
        </w:tc>
      </w:tr>
    </w:tbl>
    <w:p w:rsidR="00CA6D25" w:rsidRPr="00CA6D25" w:rsidRDefault="00CA6D25" w:rsidP="00CA6D25">
      <w:pPr>
        <w:rPr>
          <w:b/>
          <w:bCs/>
        </w:rPr>
      </w:pPr>
    </w:p>
    <w:p w:rsidR="00CA6D25" w:rsidRDefault="00CA6D25" w:rsidP="00CA6D25"/>
    <w:sectPr w:rsidR="00CA6D25" w:rsidSect="00E040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3F" w:rsidRDefault="00402E3F" w:rsidP="00CA6D25">
      <w:r>
        <w:separator/>
      </w:r>
    </w:p>
  </w:endnote>
  <w:endnote w:type="continuationSeparator" w:id="0">
    <w:p w:rsidR="00402E3F" w:rsidRDefault="00402E3F" w:rsidP="00C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3F" w:rsidRDefault="00402E3F" w:rsidP="00CA6D25">
      <w:r>
        <w:separator/>
      </w:r>
    </w:p>
  </w:footnote>
  <w:footnote w:type="continuationSeparator" w:id="0">
    <w:p w:rsidR="00402E3F" w:rsidRDefault="00402E3F" w:rsidP="00CA6D25">
      <w:r>
        <w:continuationSeparator/>
      </w:r>
    </w:p>
  </w:footnote>
  <w:footnote w:id="1">
    <w:p w:rsidR="00D75DFF" w:rsidRDefault="00D75DFF" w:rsidP="00D75DFF">
      <w:pPr>
        <w:pStyle w:val="Notedebasdepage"/>
      </w:pPr>
      <w:r>
        <w:rPr>
          <w:rStyle w:val="Appelnotedebasdep"/>
        </w:rPr>
        <w:footnoteRef/>
      </w:r>
      <w:r>
        <w:t xml:space="preserve"> Complétude : caractère de ce qui est complet, achevé (en référence à l’objet du sujet ici).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830"/>
    <w:multiLevelType w:val="hybridMultilevel"/>
    <w:tmpl w:val="5A305B50"/>
    <w:lvl w:ilvl="0" w:tplc="6DF6D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2A7"/>
    <w:multiLevelType w:val="hybridMultilevel"/>
    <w:tmpl w:val="485430FC"/>
    <w:lvl w:ilvl="0" w:tplc="A8F66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4A86"/>
    <w:multiLevelType w:val="hybridMultilevel"/>
    <w:tmpl w:val="EBF4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57D90"/>
    <w:multiLevelType w:val="hybridMultilevel"/>
    <w:tmpl w:val="6E7E657A"/>
    <w:lvl w:ilvl="0" w:tplc="5478E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D26BB"/>
    <w:multiLevelType w:val="hybridMultilevel"/>
    <w:tmpl w:val="6878459C"/>
    <w:lvl w:ilvl="0" w:tplc="A51A6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5"/>
    <w:rsid w:val="00015712"/>
    <w:rsid w:val="000A544D"/>
    <w:rsid w:val="000C7F3F"/>
    <w:rsid w:val="00221D17"/>
    <w:rsid w:val="002349DE"/>
    <w:rsid w:val="00275712"/>
    <w:rsid w:val="00290616"/>
    <w:rsid w:val="00305105"/>
    <w:rsid w:val="00380D22"/>
    <w:rsid w:val="00402E3F"/>
    <w:rsid w:val="0046320C"/>
    <w:rsid w:val="004B23EB"/>
    <w:rsid w:val="004D1658"/>
    <w:rsid w:val="004F3289"/>
    <w:rsid w:val="005700E8"/>
    <w:rsid w:val="006074B9"/>
    <w:rsid w:val="00633E6E"/>
    <w:rsid w:val="00664DC3"/>
    <w:rsid w:val="006D2E16"/>
    <w:rsid w:val="00756BCE"/>
    <w:rsid w:val="00834F48"/>
    <w:rsid w:val="008E1FDB"/>
    <w:rsid w:val="009A4A39"/>
    <w:rsid w:val="009F65AB"/>
    <w:rsid w:val="00A27B08"/>
    <w:rsid w:val="00A621E9"/>
    <w:rsid w:val="00A82688"/>
    <w:rsid w:val="00AA6B14"/>
    <w:rsid w:val="00BB4C90"/>
    <w:rsid w:val="00C03E65"/>
    <w:rsid w:val="00CA6D25"/>
    <w:rsid w:val="00D152E1"/>
    <w:rsid w:val="00D75DFF"/>
    <w:rsid w:val="00D91B68"/>
    <w:rsid w:val="00E04003"/>
    <w:rsid w:val="00E45DE4"/>
    <w:rsid w:val="00E469C2"/>
    <w:rsid w:val="00EE55B2"/>
    <w:rsid w:val="00EF72E7"/>
    <w:rsid w:val="00F12A63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Moullet</dc:creator>
  <cp:lastModifiedBy>Medion</cp:lastModifiedBy>
  <cp:revision>6</cp:revision>
  <cp:lastPrinted>2019-11-28T13:41:00Z</cp:lastPrinted>
  <dcterms:created xsi:type="dcterms:W3CDTF">2019-10-27T21:10:00Z</dcterms:created>
  <dcterms:modified xsi:type="dcterms:W3CDTF">2019-11-28T13:41:00Z</dcterms:modified>
</cp:coreProperties>
</file>